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8093" w14:textId="77777777" w:rsidR="00F34E25" w:rsidRDefault="00F16677" w:rsidP="009F54BA">
      <w:pPr>
        <w:jc w:val="center"/>
        <w:rPr>
          <w:b/>
        </w:rPr>
      </w:pPr>
      <w:r w:rsidRPr="009F54BA">
        <w:rPr>
          <w:b/>
        </w:rPr>
        <w:t>Типичные нарушения, выявляемы</w:t>
      </w:r>
      <w:r w:rsidR="00B644C0" w:rsidRPr="009F54BA">
        <w:rPr>
          <w:b/>
        </w:rPr>
        <w:t>е</w:t>
      </w:r>
      <w:r w:rsidRPr="009F54BA">
        <w:rPr>
          <w:b/>
        </w:rPr>
        <w:t xml:space="preserve"> в 1 полугод</w:t>
      </w:r>
      <w:r w:rsidR="00B644C0" w:rsidRPr="009F54BA">
        <w:rPr>
          <w:b/>
        </w:rPr>
        <w:t xml:space="preserve">ии 2026 года </w:t>
      </w:r>
    </w:p>
    <w:p w14:paraId="1F63EB9B" w14:textId="0070ACF2" w:rsidR="002920FA" w:rsidRPr="009F54BA" w:rsidRDefault="00B644C0" w:rsidP="009F54BA">
      <w:pPr>
        <w:jc w:val="center"/>
        <w:rPr>
          <w:b/>
        </w:rPr>
      </w:pPr>
      <w:r w:rsidRPr="009F54BA">
        <w:rPr>
          <w:b/>
        </w:rPr>
        <w:t>при проведении КНМ</w:t>
      </w:r>
    </w:p>
    <w:p w14:paraId="5752686F" w14:textId="77777777" w:rsidR="003E0702" w:rsidRDefault="003E0702" w:rsidP="003E0702">
      <w:pPr>
        <w:jc w:val="both"/>
      </w:pPr>
    </w:p>
    <w:p w14:paraId="7A83D2AF" w14:textId="77777777" w:rsidR="00F34E25" w:rsidRDefault="003E0702" w:rsidP="009F54BA">
      <w:pPr>
        <w:jc w:val="center"/>
        <w:rPr>
          <w:b/>
        </w:rPr>
      </w:pPr>
      <w:r w:rsidRPr="009F54BA">
        <w:rPr>
          <w:b/>
        </w:rPr>
        <w:t xml:space="preserve">В сфере государственного надзора за техническими регламентами </w:t>
      </w:r>
    </w:p>
    <w:p w14:paraId="0F7D3CF9" w14:textId="1DFC7E3E" w:rsidR="003E0702" w:rsidRPr="009F54BA" w:rsidRDefault="003E0702" w:rsidP="009F54BA">
      <w:pPr>
        <w:jc w:val="center"/>
        <w:rPr>
          <w:b/>
        </w:rPr>
      </w:pPr>
      <w:r w:rsidRPr="009F54BA">
        <w:rPr>
          <w:b/>
        </w:rPr>
        <w:t>и стандартами:</w:t>
      </w:r>
    </w:p>
    <w:p w14:paraId="5298DD58" w14:textId="77777777" w:rsidR="00B644C0" w:rsidRPr="009F54BA" w:rsidRDefault="00E258BF" w:rsidP="003E0702">
      <w:pPr>
        <w:jc w:val="both"/>
        <w:rPr>
          <w:i/>
        </w:rPr>
      </w:pPr>
      <w:r>
        <w:tab/>
      </w:r>
      <w:r w:rsidRPr="009F54BA">
        <w:rPr>
          <w:i/>
        </w:rPr>
        <w:t>В пищевой продукции:</w:t>
      </w:r>
    </w:p>
    <w:p w14:paraId="4D705E59" w14:textId="77777777" w:rsidR="00EE523E" w:rsidRDefault="00E258BF" w:rsidP="00EE523E">
      <w:pPr>
        <w:jc w:val="both"/>
        <w:rPr>
          <w:szCs w:val="30"/>
        </w:rPr>
      </w:pPr>
      <w:r>
        <w:tab/>
      </w:r>
      <w:r w:rsidR="00ED77AA" w:rsidRPr="00BC4507">
        <w:rPr>
          <w:szCs w:val="30"/>
        </w:rPr>
        <w:t>использование в производстве определенных видов продукции, недопустимых / непредусмотренных техническими регламентами Таможенного союза пищевых добавок: консервантов</w:t>
      </w:r>
      <w:r w:rsidR="00ED77AA">
        <w:rPr>
          <w:szCs w:val="30"/>
        </w:rPr>
        <w:t>, красителей;</w:t>
      </w:r>
      <w:r w:rsidR="00ED77AA">
        <w:rPr>
          <w:i/>
          <w:szCs w:val="30"/>
        </w:rPr>
        <w:t xml:space="preserve"> </w:t>
      </w:r>
      <w:r w:rsidR="00ED77AA" w:rsidRPr="00BC4507">
        <w:rPr>
          <w:szCs w:val="30"/>
        </w:rPr>
        <w:t>отсутствие информации о наличии в составе продукта пищевых добавок, обнаруженных по результатам</w:t>
      </w:r>
      <w:r w:rsidR="00DA7890">
        <w:rPr>
          <w:szCs w:val="30"/>
        </w:rPr>
        <w:t xml:space="preserve"> испытаний: консервантов и</w:t>
      </w:r>
      <w:r w:rsidR="00ED77AA">
        <w:rPr>
          <w:szCs w:val="30"/>
        </w:rPr>
        <w:t xml:space="preserve"> синтетических красителей;</w:t>
      </w:r>
      <w:r w:rsidR="00ED77AA" w:rsidRPr="00BC4507">
        <w:rPr>
          <w:szCs w:val="30"/>
        </w:rPr>
        <w:t xml:space="preserve"> </w:t>
      </w:r>
      <w:proofErr w:type="spellStart"/>
      <w:r w:rsidR="00ED77AA" w:rsidRPr="00BC4507">
        <w:rPr>
          <w:szCs w:val="30"/>
        </w:rPr>
        <w:t>влагоудерживающего</w:t>
      </w:r>
      <w:proofErr w:type="spellEnd"/>
      <w:r w:rsidR="00ED77AA" w:rsidRPr="00BC4507">
        <w:rPr>
          <w:szCs w:val="30"/>
        </w:rPr>
        <w:t xml:space="preserve"> агента (подсластителя) сорбита; </w:t>
      </w:r>
      <w:r w:rsidR="004D1538">
        <w:rPr>
          <w:szCs w:val="30"/>
        </w:rPr>
        <w:t xml:space="preserve">по </w:t>
      </w:r>
      <w:r w:rsidR="004D1538" w:rsidRPr="00BC4507">
        <w:rPr>
          <w:szCs w:val="30"/>
        </w:rPr>
        <w:t>микробиологически</w:t>
      </w:r>
      <w:r w:rsidR="004D1538">
        <w:rPr>
          <w:szCs w:val="30"/>
        </w:rPr>
        <w:t>м</w:t>
      </w:r>
      <w:r w:rsidR="004D1538" w:rsidRPr="00BC4507">
        <w:rPr>
          <w:szCs w:val="30"/>
        </w:rPr>
        <w:t xml:space="preserve"> показател</w:t>
      </w:r>
      <w:r w:rsidR="004D1538">
        <w:rPr>
          <w:szCs w:val="30"/>
        </w:rPr>
        <w:t>ям</w:t>
      </w:r>
      <w:r w:rsidR="004D1538" w:rsidRPr="00BC4507">
        <w:rPr>
          <w:szCs w:val="30"/>
        </w:rPr>
        <w:t xml:space="preserve">: завышенное количество </w:t>
      </w:r>
      <w:proofErr w:type="spellStart"/>
      <w:r w:rsidR="004D1538" w:rsidRPr="00BC4507">
        <w:rPr>
          <w:szCs w:val="30"/>
        </w:rPr>
        <w:t>мезофильных</w:t>
      </w:r>
      <w:proofErr w:type="spellEnd"/>
      <w:r w:rsidR="004D1538" w:rsidRPr="00BC4507">
        <w:rPr>
          <w:szCs w:val="30"/>
        </w:rPr>
        <w:t xml:space="preserve"> аэробных и факультативно-анаэробных микроорганизмов (</w:t>
      </w:r>
      <w:proofErr w:type="spellStart"/>
      <w:r w:rsidR="004D1538" w:rsidRPr="00BC4507">
        <w:rPr>
          <w:szCs w:val="30"/>
        </w:rPr>
        <w:t>КМАФАнМ</w:t>
      </w:r>
      <w:proofErr w:type="spellEnd"/>
      <w:r w:rsidR="004D1538" w:rsidRPr="00BC4507">
        <w:rPr>
          <w:szCs w:val="30"/>
        </w:rPr>
        <w:t>);</w:t>
      </w:r>
      <w:r w:rsidR="00EE523E" w:rsidRPr="00EE523E">
        <w:t xml:space="preserve"> </w:t>
      </w:r>
      <w:r w:rsidR="00EB7EC7">
        <w:t xml:space="preserve">отсутствие маркировки или неполная информация </w:t>
      </w:r>
      <w:r w:rsidR="00EB7EC7">
        <w:br/>
        <w:t>в маркировке; отсутствие документов о подтверждении соответствия при выпуске в обращение, реализации продукции, подлежащей обязательному подтверждению соответствия</w:t>
      </w:r>
      <w:r w:rsidR="00EE523E">
        <w:t xml:space="preserve">; </w:t>
      </w:r>
      <w:r w:rsidR="00EE523E">
        <w:rPr>
          <w:szCs w:val="30"/>
        </w:rPr>
        <w:t>реализация продукции с истекшим сроком годности и др.</w:t>
      </w:r>
    </w:p>
    <w:p w14:paraId="6AE04CF4" w14:textId="77777777" w:rsidR="007A3105" w:rsidRPr="00761595" w:rsidRDefault="007A3105" w:rsidP="00EE523E">
      <w:pPr>
        <w:jc w:val="both"/>
        <w:rPr>
          <w:i/>
          <w:szCs w:val="30"/>
        </w:rPr>
      </w:pPr>
      <w:r>
        <w:rPr>
          <w:szCs w:val="30"/>
        </w:rPr>
        <w:tab/>
      </w:r>
      <w:r w:rsidRPr="00761595">
        <w:rPr>
          <w:i/>
          <w:szCs w:val="30"/>
        </w:rPr>
        <w:t>В электротехнической продукции:</w:t>
      </w:r>
    </w:p>
    <w:p w14:paraId="39F51790" w14:textId="3E533716" w:rsidR="007A3105" w:rsidRPr="000758C2" w:rsidRDefault="007A3105" w:rsidP="000758C2">
      <w:pPr>
        <w:jc w:val="both"/>
        <w:rPr>
          <w:szCs w:val="30"/>
        </w:rPr>
      </w:pPr>
      <w:r>
        <w:rPr>
          <w:szCs w:val="30"/>
        </w:rPr>
        <w:tab/>
      </w:r>
      <w:r w:rsidR="00887F22" w:rsidRPr="00887F22">
        <w:rPr>
          <w:szCs w:val="30"/>
        </w:rPr>
        <w:t>по создаваемым электромагнитным помехам: квазипиковые и средние значения напряжения радиопомех, создаваемых на сетевых зажи</w:t>
      </w:r>
      <w:r w:rsidR="000758C2">
        <w:rPr>
          <w:szCs w:val="30"/>
        </w:rPr>
        <w:t xml:space="preserve">мах, превышают допустимые нормы; </w:t>
      </w:r>
      <w:r w:rsidR="000758C2" w:rsidRPr="000758C2">
        <w:rPr>
          <w:szCs w:val="30"/>
        </w:rPr>
        <w:t>по превышению допустимой концентрации опасного вещества (свинца) в однородных (гомогенных) материалах</w:t>
      </w:r>
      <w:r w:rsidR="000758C2">
        <w:rPr>
          <w:szCs w:val="30"/>
        </w:rPr>
        <w:t xml:space="preserve">; </w:t>
      </w:r>
      <w:r w:rsidR="000758C2" w:rsidRPr="000758C2">
        <w:rPr>
          <w:szCs w:val="30"/>
        </w:rPr>
        <w:t>необеспечение оборудован</w:t>
      </w:r>
      <w:r w:rsidR="000758C2">
        <w:rPr>
          <w:szCs w:val="30"/>
        </w:rPr>
        <w:t xml:space="preserve">ием необходимого уровня защиты </w:t>
      </w:r>
      <w:r w:rsidR="000758C2" w:rsidRPr="000758C2">
        <w:rPr>
          <w:szCs w:val="30"/>
        </w:rPr>
        <w:t>от прямого или косвенного в</w:t>
      </w:r>
      <w:r w:rsidR="000758C2">
        <w:rPr>
          <w:szCs w:val="30"/>
        </w:rPr>
        <w:t xml:space="preserve">оздействия электрического тока </w:t>
      </w:r>
      <w:r w:rsidR="00F34E25">
        <w:rPr>
          <w:szCs w:val="30"/>
        </w:rPr>
        <w:br/>
      </w:r>
      <w:r w:rsidR="000758C2" w:rsidRPr="000758C2">
        <w:rPr>
          <w:szCs w:val="30"/>
        </w:rPr>
        <w:t>и необходимого уровня изоляционной защиты</w:t>
      </w:r>
      <w:r w:rsidR="00211AF8">
        <w:rPr>
          <w:szCs w:val="30"/>
        </w:rPr>
        <w:t>;</w:t>
      </w:r>
      <w:r w:rsidR="00527DCB">
        <w:rPr>
          <w:szCs w:val="30"/>
        </w:rPr>
        <w:t xml:space="preserve"> </w:t>
      </w:r>
      <w:r w:rsidR="00211AF8">
        <w:t xml:space="preserve">отсутствие маркировки или неполная информация в маркировке; отсутствие документов </w:t>
      </w:r>
      <w:r w:rsidR="00F34E25">
        <w:br/>
      </w:r>
      <w:r w:rsidR="00211AF8">
        <w:t xml:space="preserve">о подтверждении соответствия при выпуске в обращение, реализации продукции, подлежащей обязательному подтверждению соответствия; </w:t>
      </w:r>
      <w:r w:rsidR="00F34E25">
        <w:br/>
      </w:r>
      <w:r w:rsidR="00527DCB">
        <w:rPr>
          <w:szCs w:val="30"/>
        </w:rPr>
        <w:t>и др.</w:t>
      </w:r>
    </w:p>
    <w:p w14:paraId="0A95D0F3" w14:textId="77777777" w:rsidR="00EE523E" w:rsidRPr="00EB7EC7" w:rsidRDefault="00093D1E" w:rsidP="00EE523E">
      <w:pPr>
        <w:jc w:val="both"/>
        <w:rPr>
          <w:i/>
        </w:rPr>
      </w:pPr>
      <w:r>
        <w:tab/>
      </w:r>
      <w:r w:rsidRPr="00EB7EC7">
        <w:rPr>
          <w:i/>
        </w:rPr>
        <w:t>Игрушки:</w:t>
      </w:r>
    </w:p>
    <w:p w14:paraId="307DA164" w14:textId="1FA0CC8E" w:rsidR="00EE523E" w:rsidRDefault="00093D1E" w:rsidP="00EE523E">
      <w:pPr>
        <w:jc w:val="both"/>
      </w:pPr>
      <w:r>
        <w:tab/>
      </w:r>
      <w:r w:rsidR="00A3448C">
        <w:t>п</w:t>
      </w:r>
      <w:r w:rsidR="00C07AF1">
        <w:t>ревышение допустим</w:t>
      </w:r>
      <w:r w:rsidR="002D6D9A">
        <w:t>ых</w:t>
      </w:r>
      <w:r w:rsidR="00C07AF1">
        <w:t xml:space="preserve"> норм уровн</w:t>
      </w:r>
      <w:r w:rsidR="002D6D9A">
        <w:t>ей</w:t>
      </w:r>
      <w:r w:rsidR="00C07AF1">
        <w:t xml:space="preserve"> миграции формальдегида </w:t>
      </w:r>
      <w:r w:rsidR="00F34E25">
        <w:br/>
      </w:r>
      <w:r w:rsidR="00C07AF1">
        <w:t>в воздушную среду</w:t>
      </w:r>
      <w:r w:rsidR="002D6D9A">
        <w:t xml:space="preserve">, </w:t>
      </w:r>
      <w:r w:rsidR="002D6D9A" w:rsidRPr="002D6D9A">
        <w:t>фенола в водную среду</w:t>
      </w:r>
      <w:r w:rsidR="002D6D9A">
        <w:t xml:space="preserve">; </w:t>
      </w:r>
      <w:r w:rsidR="00A3448C">
        <w:t>превышение допустимого эквивалентного и максимального уровня звука игрушек в озвученных игрушках;</w:t>
      </w:r>
      <w:r w:rsidR="00EB7EC7" w:rsidRPr="00EB7EC7">
        <w:t xml:space="preserve"> поверхностное окрашивание и роспись игрушек-погремушек </w:t>
      </w:r>
      <w:r w:rsidR="00F34E25">
        <w:br/>
      </w:r>
      <w:r w:rsidR="00EB7EC7" w:rsidRPr="00EB7EC7">
        <w:t>и игрушек, контактирующих со ртом ребенка</w:t>
      </w:r>
      <w:r w:rsidR="00EB7EC7">
        <w:t>; отсутствие марк</w:t>
      </w:r>
      <w:r w:rsidR="001B1657">
        <w:t xml:space="preserve">ировки или неполная информация </w:t>
      </w:r>
      <w:r w:rsidR="00EB7EC7">
        <w:t xml:space="preserve">в маркировке; отсутствие документов </w:t>
      </w:r>
      <w:r w:rsidR="00F34E25">
        <w:br/>
      </w:r>
      <w:r w:rsidR="00EB7EC7">
        <w:t>о подтверждении соответствия при выпуске в обращение, реализации продукции, подлежащей обязательному подтверждению соответствия</w:t>
      </w:r>
      <w:r w:rsidR="001B1657">
        <w:t xml:space="preserve"> </w:t>
      </w:r>
      <w:r w:rsidR="00F34E25">
        <w:br/>
      </w:r>
      <w:r w:rsidR="001B1657">
        <w:t>и др.;</w:t>
      </w:r>
    </w:p>
    <w:p w14:paraId="5EA54C1F" w14:textId="77777777" w:rsidR="00205F70" w:rsidRDefault="004D0585" w:rsidP="00EE523E">
      <w:pPr>
        <w:jc w:val="both"/>
      </w:pPr>
      <w:r>
        <w:tab/>
      </w:r>
    </w:p>
    <w:p w14:paraId="06663674" w14:textId="77777777" w:rsidR="004D0585" w:rsidRPr="004D0585" w:rsidRDefault="004D0585" w:rsidP="00205F70">
      <w:pPr>
        <w:ind w:firstLine="708"/>
        <w:jc w:val="both"/>
        <w:rPr>
          <w:i/>
        </w:rPr>
      </w:pPr>
      <w:proofErr w:type="spellStart"/>
      <w:r w:rsidRPr="004D0585">
        <w:rPr>
          <w:i/>
        </w:rPr>
        <w:lastRenderedPageBreak/>
        <w:t>Вейпы</w:t>
      </w:r>
      <w:proofErr w:type="spellEnd"/>
      <w:r w:rsidRPr="004D0585">
        <w:rPr>
          <w:i/>
        </w:rPr>
        <w:t>:</w:t>
      </w:r>
    </w:p>
    <w:p w14:paraId="1A43B6EA" w14:textId="77777777" w:rsidR="001B71D1" w:rsidRPr="00FC7962" w:rsidRDefault="004D0585" w:rsidP="00FC7962">
      <w:pPr>
        <w:ind w:firstLine="708"/>
        <w:jc w:val="both"/>
      </w:pPr>
      <w:r w:rsidRPr="004D0585">
        <w:t>превышение допустимого содержания объема одноразовых электронных систем доставки никотина и содержания никотина</w:t>
      </w:r>
      <w:r>
        <w:t>;</w:t>
      </w:r>
      <w:r w:rsidR="000F1F59" w:rsidRPr="000F1F59">
        <w:t xml:space="preserve"> </w:t>
      </w:r>
      <w:r w:rsidR="000F1F59">
        <w:t xml:space="preserve">отсутствие маркировки или неполная информация </w:t>
      </w:r>
      <w:r w:rsidR="000F1F59">
        <w:br/>
        <w:t>в маркировке; в</w:t>
      </w:r>
      <w:r w:rsidR="000F1F59" w:rsidRPr="00B32C79">
        <w:t xml:space="preserve"> маркировке потребительской упаковки использованы изображения пищевой продукции, слова и (или) словосочетания, которые прямо или косвенно могут вызвать ассоциации изделий с пищевой продукцией </w:t>
      </w:r>
      <w:r w:rsidR="000F1F59" w:rsidRPr="0059764B">
        <w:t>отсутствует сертификат соответствия Национальной системы подтверждения соответствия Республики Беларусь</w:t>
      </w:r>
      <w:r w:rsidR="000F1F59">
        <w:t xml:space="preserve"> и др.</w:t>
      </w:r>
    </w:p>
    <w:p w14:paraId="32CD0062" w14:textId="77777777" w:rsidR="001B71D1" w:rsidRPr="00205F70" w:rsidRDefault="001B71D1" w:rsidP="001B087A">
      <w:pPr>
        <w:ind w:firstLine="708"/>
        <w:jc w:val="both"/>
        <w:rPr>
          <w:b/>
        </w:rPr>
      </w:pPr>
      <w:r w:rsidRPr="00205F70">
        <w:rPr>
          <w:b/>
        </w:rPr>
        <w:t>В сфере государственного метрологического надзора:</w:t>
      </w:r>
    </w:p>
    <w:p w14:paraId="7D946D1D" w14:textId="77777777" w:rsidR="001F60EC" w:rsidRPr="001F60EC" w:rsidRDefault="001F60EC" w:rsidP="001F60EC">
      <w:pPr>
        <w:ind w:firstLine="709"/>
        <w:jc w:val="both"/>
        <w:rPr>
          <w:rFonts w:eastAsia="Calibri" w:cs="Times New Roman"/>
          <w:szCs w:val="30"/>
        </w:rPr>
      </w:pPr>
      <w:r w:rsidRPr="001F60EC">
        <w:rPr>
          <w:rFonts w:eastAsia="Calibri" w:cs="Times New Roman"/>
          <w:szCs w:val="30"/>
        </w:rPr>
        <w:t>эксплуатация средств измерений неутвержденного типа;</w:t>
      </w:r>
    </w:p>
    <w:p w14:paraId="422AF69C" w14:textId="77777777" w:rsidR="001F60EC" w:rsidRPr="001F60EC" w:rsidRDefault="001F60EC" w:rsidP="001F60EC">
      <w:pPr>
        <w:ind w:firstLine="709"/>
        <w:jc w:val="both"/>
        <w:rPr>
          <w:rFonts w:eastAsia="Calibri" w:cs="Times New Roman"/>
          <w:szCs w:val="30"/>
        </w:rPr>
      </w:pPr>
      <w:r w:rsidRPr="001F60EC">
        <w:rPr>
          <w:rFonts w:eastAsia="Calibri" w:cs="Times New Roman"/>
          <w:szCs w:val="30"/>
        </w:rPr>
        <w:t xml:space="preserve">эксплуатация средств измерений, предназначенных для применения при измерениях в сфере законодательной метрологии, без прохождения государственной поверки, а средств измерений, применяемых </w:t>
      </w:r>
      <w:r w:rsidRPr="001F60EC">
        <w:rPr>
          <w:rFonts w:eastAsia="Calibri" w:cs="Times New Roman"/>
          <w:szCs w:val="30"/>
        </w:rPr>
        <w:br/>
        <w:t xml:space="preserve">в испытательных лабораториях (центрах), аккредитованных </w:t>
      </w:r>
      <w:r w:rsidRPr="001F60EC">
        <w:rPr>
          <w:rFonts w:eastAsia="Calibri" w:cs="Times New Roman"/>
          <w:szCs w:val="30"/>
        </w:rPr>
        <w:br/>
        <w:t>в Национальной системе аккредитации Республики Беларусь, – без прохождения государственной поверки или калибровки;</w:t>
      </w:r>
    </w:p>
    <w:p w14:paraId="054388EE" w14:textId="77777777" w:rsidR="001F60EC" w:rsidRPr="001F60EC" w:rsidRDefault="001F60EC" w:rsidP="001F60EC">
      <w:pPr>
        <w:ind w:firstLine="709"/>
        <w:jc w:val="both"/>
        <w:rPr>
          <w:rFonts w:eastAsia="Calibri" w:cs="Times New Roman"/>
          <w:szCs w:val="30"/>
        </w:rPr>
      </w:pPr>
      <w:r w:rsidRPr="001F60EC">
        <w:rPr>
          <w:rFonts w:eastAsia="Calibri" w:cs="Times New Roman"/>
          <w:szCs w:val="30"/>
        </w:rPr>
        <w:t>применение средств измерений, не соответствующих установленным требованиям по метрологическим характеристикам;</w:t>
      </w:r>
    </w:p>
    <w:p w14:paraId="0AE8C62A" w14:textId="77777777" w:rsidR="001F60EC" w:rsidRPr="001F60EC" w:rsidRDefault="001F60EC" w:rsidP="001F60EC">
      <w:pPr>
        <w:ind w:firstLine="709"/>
        <w:jc w:val="both"/>
        <w:rPr>
          <w:rFonts w:eastAsia="Calibri" w:cs="Times New Roman"/>
          <w:szCs w:val="30"/>
        </w:rPr>
      </w:pPr>
      <w:r w:rsidRPr="001F60EC">
        <w:rPr>
          <w:rFonts w:eastAsia="Calibri" w:cs="Times New Roman"/>
          <w:szCs w:val="30"/>
        </w:rPr>
        <w:t>нарушение методик (методов) измерений;</w:t>
      </w:r>
    </w:p>
    <w:p w14:paraId="1F06F979" w14:textId="77777777" w:rsidR="001F60EC" w:rsidRPr="001F60EC" w:rsidRDefault="001F60EC" w:rsidP="001F60EC">
      <w:pPr>
        <w:ind w:firstLine="709"/>
        <w:jc w:val="both"/>
        <w:rPr>
          <w:rFonts w:eastAsia="Calibri" w:cs="Times New Roman"/>
          <w:szCs w:val="30"/>
        </w:rPr>
      </w:pPr>
      <w:r w:rsidRPr="001F60EC">
        <w:rPr>
          <w:rFonts w:eastAsia="Calibri" w:cs="Times New Roman"/>
          <w:szCs w:val="30"/>
        </w:rPr>
        <w:t>нарушения при оформлении протоколов испытаний;</w:t>
      </w:r>
    </w:p>
    <w:p w14:paraId="699D63FB" w14:textId="77777777" w:rsidR="001F60EC" w:rsidRPr="001F60EC" w:rsidRDefault="001F60EC" w:rsidP="001F60EC">
      <w:pPr>
        <w:ind w:firstLine="709"/>
        <w:jc w:val="both"/>
        <w:rPr>
          <w:rFonts w:eastAsia="Calibri" w:cs="Times New Roman"/>
          <w:szCs w:val="30"/>
        </w:rPr>
      </w:pPr>
      <w:r w:rsidRPr="001F60EC">
        <w:rPr>
          <w:rFonts w:eastAsia="Calibri" w:cs="Times New Roman"/>
          <w:szCs w:val="30"/>
        </w:rPr>
        <w:t>нарушение требований к фасованным товарам;</w:t>
      </w:r>
    </w:p>
    <w:p w14:paraId="561189E5" w14:textId="77777777" w:rsidR="005367FA" w:rsidRPr="001F60EC" w:rsidRDefault="001F60EC" w:rsidP="00FC7962">
      <w:pPr>
        <w:ind w:firstLine="709"/>
        <w:jc w:val="both"/>
        <w:rPr>
          <w:rFonts w:eastAsia="Calibri" w:cs="Times New Roman"/>
          <w:szCs w:val="30"/>
        </w:rPr>
      </w:pPr>
      <w:r w:rsidRPr="001F60EC">
        <w:rPr>
          <w:rFonts w:eastAsia="Calibri" w:cs="Times New Roman"/>
          <w:szCs w:val="30"/>
        </w:rPr>
        <w:t>нарушение правил пользования средствами измерений.</w:t>
      </w:r>
    </w:p>
    <w:p w14:paraId="79E3FDBD" w14:textId="77777777" w:rsidR="001B71D1" w:rsidRPr="00205F70" w:rsidRDefault="008939F2" w:rsidP="001B087A">
      <w:pPr>
        <w:ind w:firstLine="708"/>
        <w:jc w:val="both"/>
        <w:rPr>
          <w:b/>
        </w:rPr>
      </w:pPr>
      <w:r w:rsidRPr="00205F70">
        <w:rPr>
          <w:b/>
        </w:rPr>
        <w:t>В сфере законодательства об оценке соответствия:</w:t>
      </w:r>
    </w:p>
    <w:p w14:paraId="3A8A3CEA" w14:textId="22DB230E" w:rsidR="00972744" w:rsidRPr="00972744" w:rsidRDefault="00972744" w:rsidP="00972744">
      <w:pPr>
        <w:ind w:firstLine="567"/>
        <w:jc w:val="both"/>
        <w:rPr>
          <w:rFonts w:cs="Times New Roman"/>
          <w:sz w:val="28"/>
          <w:szCs w:val="28"/>
        </w:rPr>
      </w:pPr>
      <w:r w:rsidRPr="00972744">
        <w:rPr>
          <w:rFonts w:cs="Times New Roman"/>
          <w:sz w:val="28"/>
          <w:szCs w:val="28"/>
        </w:rPr>
        <w:t xml:space="preserve">отсутствие результатов испытаний в протоколах испытаний по требованиям безопасности ТР ТС, на основании которых принимаются (выдаются) </w:t>
      </w:r>
      <w:r w:rsidR="00F34E25">
        <w:rPr>
          <w:rFonts w:cs="Times New Roman"/>
          <w:sz w:val="28"/>
          <w:szCs w:val="28"/>
        </w:rPr>
        <w:br/>
      </w:r>
      <w:r w:rsidRPr="00972744">
        <w:rPr>
          <w:rFonts w:cs="Times New Roman"/>
          <w:sz w:val="28"/>
          <w:szCs w:val="28"/>
        </w:rPr>
        <w:t>и регистрируются документы об оценке соответствия;</w:t>
      </w:r>
    </w:p>
    <w:p w14:paraId="644F9D38" w14:textId="77777777" w:rsidR="00972744" w:rsidRPr="00972744" w:rsidRDefault="00972744" w:rsidP="00972744">
      <w:pPr>
        <w:ind w:firstLine="567"/>
        <w:jc w:val="both"/>
        <w:rPr>
          <w:rFonts w:cs="Times New Roman"/>
          <w:sz w:val="28"/>
          <w:szCs w:val="28"/>
        </w:rPr>
      </w:pPr>
      <w:r w:rsidRPr="00972744">
        <w:rPr>
          <w:rFonts w:cs="Times New Roman"/>
          <w:sz w:val="28"/>
          <w:szCs w:val="28"/>
        </w:rPr>
        <w:t>принятие (выдача) документов об оценке соответствия на основании протоколов испытаний, в которых подтверждено соответствие не всей продукции, заявленной в данных документах об оценке соответствия;</w:t>
      </w:r>
    </w:p>
    <w:p w14:paraId="5D4F60BB" w14:textId="77777777" w:rsidR="00972744" w:rsidRPr="00972744" w:rsidRDefault="00972744" w:rsidP="00972744">
      <w:pPr>
        <w:ind w:firstLine="567"/>
        <w:jc w:val="both"/>
        <w:rPr>
          <w:rFonts w:cs="Times New Roman"/>
          <w:sz w:val="28"/>
          <w:szCs w:val="28"/>
        </w:rPr>
      </w:pPr>
      <w:r w:rsidRPr="00972744">
        <w:rPr>
          <w:rFonts w:cs="Times New Roman"/>
          <w:sz w:val="28"/>
          <w:szCs w:val="28"/>
        </w:rPr>
        <w:t>при выполнении процедуры декларирования пищевой продукции применение заявителем протоколов испытаний типовых образцов в случае, когда требованиями ТР ТС данная процедура не предусмотрена;</w:t>
      </w:r>
    </w:p>
    <w:p w14:paraId="493EDBA5" w14:textId="4BDC88A8" w:rsidR="00972744" w:rsidRPr="00972744" w:rsidRDefault="00972744" w:rsidP="00972744">
      <w:pPr>
        <w:ind w:firstLine="567"/>
        <w:jc w:val="both"/>
        <w:rPr>
          <w:rFonts w:cs="Times New Roman"/>
          <w:sz w:val="28"/>
          <w:szCs w:val="28"/>
        </w:rPr>
      </w:pPr>
      <w:r w:rsidRPr="00972744">
        <w:rPr>
          <w:rFonts w:cs="Times New Roman"/>
          <w:sz w:val="28"/>
          <w:szCs w:val="28"/>
        </w:rPr>
        <w:t>принятие (выдача) до</w:t>
      </w:r>
      <w:r>
        <w:rPr>
          <w:rFonts w:cs="Times New Roman"/>
          <w:sz w:val="28"/>
          <w:szCs w:val="28"/>
        </w:rPr>
        <w:t>кументов об оценке соответствия</w:t>
      </w:r>
      <w:r w:rsidRPr="00972744">
        <w:rPr>
          <w:rFonts w:cs="Times New Roman"/>
          <w:sz w:val="28"/>
          <w:szCs w:val="28"/>
        </w:rPr>
        <w:t xml:space="preserve"> в случае, когда </w:t>
      </w:r>
      <w:r w:rsidR="00F34E25">
        <w:rPr>
          <w:rFonts w:cs="Times New Roman"/>
          <w:sz w:val="28"/>
          <w:szCs w:val="28"/>
        </w:rPr>
        <w:br/>
      </w:r>
      <w:r w:rsidRPr="00972744">
        <w:rPr>
          <w:rFonts w:cs="Times New Roman"/>
          <w:sz w:val="28"/>
          <w:szCs w:val="28"/>
        </w:rPr>
        <w:t>они содержат неполные либо недостоверные сведения.</w:t>
      </w:r>
    </w:p>
    <w:p w14:paraId="0B7D307F" w14:textId="77777777" w:rsidR="00F16677" w:rsidRDefault="00F16677"/>
    <w:sectPr w:rsidR="00F16677" w:rsidSect="009F2ADE">
      <w:pgSz w:w="11906" w:h="16838"/>
      <w:pgMar w:top="1134" w:right="567" w:bottom="1134" w:left="1701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677"/>
    <w:rsid w:val="00040492"/>
    <w:rsid w:val="000758C2"/>
    <w:rsid w:val="00087FAC"/>
    <w:rsid w:val="00093D1E"/>
    <w:rsid w:val="000F1F59"/>
    <w:rsid w:val="001B087A"/>
    <w:rsid w:val="001B1657"/>
    <w:rsid w:val="001B71D1"/>
    <w:rsid w:val="001F60EC"/>
    <w:rsid w:val="00205F70"/>
    <w:rsid w:val="00211AF8"/>
    <w:rsid w:val="002920FA"/>
    <w:rsid w:val="002A5B81"/>
    <w:rsid w:val="002D6D9A"/>
    <w:rsid w:val="003445DF"/>
    <w:rsid w:val="003B7E48"/>
    <w:rsid w:val="003E0702"/>
    <w:rsid w:val="004D0585"/>
    <w:rsid w:val="004D1538"/>
    <w:rsid w:val="00527DCB"/>
    <w:rsid w:val="005367FA"/>
    <w:rsid w:val="00540866"/>
    <w:rsid w:val="00721D51"/>
    <w:rsid w:val="00761595"/>
    <w:rsid w:val="007A3105"/>
    <w:rsid w:val="00823C63"/>
    <w:rsid w:val="00887F22"/>
    <w:rsid w:val="008939F2"/>
    <w:rsid w:val="00972744"/>
    <w:rsid w:val="009F2ADE"/>
    <w:rsid w:val="009F54BA"/>
    <w:rsid w:val="00A3448C"/>
    <w:rsid w:val="00B644C0"/>
    <w:rsid w:val="00B9559B"/>
    <w:rsid w:val="00BF2098"/>
    <w:rsid w:val="00C07AF1"/>
    <w:rsid w:val="00CE30F1"/>
    <w:rsid w:val="00DA7890"/>
    <w:rsid w:val="00E258BF"/>
    <w:rsid w:val="00EB7EC7"/>
    <w:rsid w:val="00ED77AA"/>
    <w:rsid w:val="00EE523E"/>
    <w:rsid w:val="00F16677"/>
    <w:rsid w:val="00F34E25"/>
    <w:rsid w:val="00F45A33"/>
    <w:rsid w:val="00FC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035E5"/>
  <w15:chartTrackingRefBased/>
  <w15:docId w15:val="{B544E859-624A-4A60-9341-A4DD072D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igost</cp:lastModifiedBy>
  <cp:revision>2</cp:revision>
  <dcterms:created xsi:type="dcterms:W3CDTF">2026-07-24T08:40:00Z</dcterms:created>
  <dcterms:modified xsi:type="dcterms:W3CDTF">2026-07-24T08:40:00Z</dcterms:modified>
</cp:coreProperties>
</file>