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0FA" w:rsidRPr="008D2720" w:rsidRDefault="00667655">
      <w:pPr>
        <w:rPr>
          <w:b/>
        </w:rPr>
      </w:pPr>
      <w:bookmarkStart w:id="0" w:name="_GoBack"/>
      <w:bookmarkEnd w:id="0"/>
      <w:r w:rsidRPr="008D2720">
        <w:rPr>
          <w:b/>
        </w:rPr>
        <w:t xml:space="preserve">Типичные нарушения по видам продукции </w:t>
      </w:r>
      <w:r w:rsidR="00FE5CC3">
        <w:rPr>
          <w:b/>
        </w:rPr>
        <w:t>за 1 полугодие 2024 года</w:t>
      </w:r>
    </w:p>
    <w:p w:rsidR="00667655" w:rsidRPr="008D2720" w:rsidRDefault="00667655">
      <w:pPr>
        <w:rPr>
          <w:b/>
        </w:rPr>
      </w:pPr>
      <w:r w:rsidRPr="008D2720">
        <w:rPr>
          <w:b/>
        </w:rPr>
        <w:t>Пищевая продукция:</w:t>
      </w:r>
    </w:p>
    <w:p w:rsidR="008D2720" w:rsidRPr="008D2720" w:rsidRDefault="008D2720" w:rsidP="008D2720">
      <w:pPr>
        <w:jc w:val="both"/>
        <w:rPr>
          <w:rFonts w:eastAsia="Calibri" w:cs="Times New Roman"/>
          <w:i/>
          <w:szCs w:val="30"/>
        </w:rPr>
      </w:pPr>
      <w:r w:rsidRPr="008D2720">
        <w:rPr>
          <w:rFonts w:eastAsia="Calibri" w:cs="Times New Roman"/>
          <w:i/>
          <w:szCs w:val="30"/>
        </w:rPr>
        <w:t>Характерными нарушениями, выявляемыми в ходе КНМ, являются:</w:t>
      </w:r>
    </w:p>
    <w:p w:rsidR="008D2720" w:rsidRDefault="008D2720" w:rsidP="008D2720">
      <w:pPr>
        <w:ind w:firstLine="709"/>
        <w:jc w:val="both"/>
        <w:rPr>
          <w:rFonts w:eastAsia="Calibri" w:cs="Times New Roman"/>
          <w:szCs w:val="30"/>
        </w:rPr>
      </w:pPr>
      <w:r w:rsidRPr="008D2720">
        <w:rPr>
          <w:rFonts w:eastAsia="Calibri" w:cs="Times New Roman"/>
          <w:szCs w:val="30"/>
        </w:rPr>
        <w:t xml:space="preserve">реализация продукции без декларации о соответствии требованиям ТР ТС, ЕАЭС или неправомерное принятие деклараций о соответствии </w:t>
      </w:r>
      <w:r w:rsidRPr="008D2720">
        <w:rPr>
          <w:rFonts w:eastAsia="Calibri" w:cs="Times New Roman"/>
          <w:szCs w:val="30"/>
        </w:rPr>
        <w:br/>
        <w:t xml:space="preserve">– отсутствие предусмотренных техническим регламентом испытаний продукции или проведение испытаний не в полном объеме (испытаны </w:t>
      </w:r>
      <w:r w:rsidRPr="008D2720">
        <w:rPr>
          <w:rFonts w:eastAsia="Calibri" w:cs="Times New Roman"/>
          <w:szCs w:val="30"/>
        </w:rPr>
        <w:br/>
        <w:t>не все показатели);</w:t>
      </w:r>
    </w:p>
    <w:p w:rsidR="0015680F" w:rsidRPr="008D2720" w:rsidRDefault="0015680F" w:rsidP="008D2720">
      <w:pPr>
        <w:ind w:firstLine="709"/>
        <w:jc w:val="both"/>
        <w:rPr>
          <w:rFonts w:eastAsia="Calibri" w:cs="Times New Roman"/>
          <w:szCs w:val="30"/>
        </w:rPr>
      </w:pPr>
      <w:r w:rsidRPr="0015680F">
        <w:rPr>
          <w:rFonts w:eastAsia="Calibri" w:cs="Times New Roman"/>
          <w:szCs w:val="30"/>
        </w:rPr>
        <w:t>недопустимые в составе продукции пищевые добавки консер</w:t>
      </w:r>
      <w:r>
        <w:rPr>
          <w:rFonts w:eastAsia="Calibri" w:cs="Times New Roman"/>
          <w:szCs w:val="30"/>
        </w:rPr>
        <w:t>ванты, красители, подсластители;</w:t>
      </w:r>
    </w:p>
    <w:p w:rsidR="008D2720" w:rsidRPr="008D2720" w:rsidRDefault="008D2720" w:rsidP="008D2720">
      <w:pPr>
        <w:ind w:firstLine="709"/>
        <w:jc w:val="both"/>
        <w:rPr>
          <w:rFonts w:eastAsia="Calibri" w:cs="Times New Roman"/>
          <w:szCs w:val="30"/>
        </w:rPr>
      </w:pPr>
      <w:r w:rsidRPr="008D2720">
        <w:rPr>
          <w:rFonts w:eastAsia="Calibri" w:cs="Times New Roman"/>
          <w:szCs w:val="30"/>
        </w:rPr>
        <w:t>реализация продукции, не соответствующей требованиям технических регламентов по физико-химическим показателям;</w:t>
      </w:r>
    </w:p>
    <w:p w:rsidR="008D2720" w:rsidRPr="008D2720" w:rsidRDefault="008D2720" w:rsidP="008D2720">
      <w:pPr>
        <w:ind w:firstLine="709"/>
        <w:jc w:val="both"/>
        <w:rPr>
          <w:rFonts w:eastAsia="Calibri" w:cs="Times New Roman"/>
          <w:szCs w:val="30"/>
        </w:rPr>
      </w:pPr>
      <w:r w:rsidRPr="008D2720">
        <w:rPr>
          <w:rFonts w:eastAsia="Calibri" w:cs="Times New Roman"/>
          <w:szCs w:val="30"/>
        </w:rPr>
        <w:t>несоответствие продукции по микробиологическим показателям, превышение содержания токсичных элементов;</w:t>
      </w:r>
    </w:p>
    <w:p w:rsidR="008D2720" w:rsidRPr="008D2720" w:rsidRDefault="008D2720" w:rsidP="008D2720">
      <w:pPr>
        <w:ind w:firstLine="709"/>
        <w:jc w:val="both"/>
        <w:rPr>
          <w:rFonts w:eastAsia="Calibri" w:cs="Times New Roman"/>
          <w:szCs w:val="30"/>
        </w:rPr>
      </w:pPr>
      <w:r w:rsidRPr="008D2720">
        <w:rPr>
          <w:rFonts w:eastAsia="Calibri" w:cs="Times New Roman"/>
          <w:szCs w:val="30"/>
        </w:rPr>
        <w:t xml:space="preserve">отсутствие предупреждающих надписей, введение потребителя </w:t>
      </w:r>
      <w:r w:rsidRPr="008D2720">
        <w:rPr>
          <w:rFonts w:eastAsia="Calibri" w:cs="Times New Roman"/>
          <w:szCs w:val="30"/>
        </w:rPr>
        <w:br/>
        <w:t>в заблуждение относительно наименования продукции (продукт выдается за другой, но им не является), состава (не указываются входящие пищевые добавки (синтетические красители) или указываются с нарушением требований регламента (отсутствует</w:t>
      </w:r>
      <w:r w:rsidR="0015680F">
        <w:rPr>
          <w:rFonts w:eastAsia="Calibri" w:cs="Times New Roman"/>
          <w:szCs w:val="30"/>
        </w:rPr>
        <w:t xml:space="preserve"> классификация пищевой добавки) </w:t>
      </w:r>
      <w:r w:rsidR="0015680F">
        <w:rPr>
          <w:rFonts w:eastAsia="Calibri" w:cs="Times New Roman"/>
          <w:szCs w:val="30"/>
        </w:rPr>
        <w:br/>
        <w:t>и др.</w:t>
      </w:r>
    </w:p>
    <w:p w:rsidR="00AC62B9" w:rsidRPr="00054E97" w:rsidRDefault="00AC62B9" w:rsidP="00AC62B9">
      <w:pPr>
        <w:jc w:val="both"/>
        <w:rPr>
          <w:rFonts w:eastAsia="Calibri" w:cs="Times New Roman"/>
          <w:b/>
          <w:bCs/>
          <w:szCs w:val="30"/>
        </w:rPr>
      </w:pPr>
      <w:r w:rsidRPr="00054E97">
        <w:rPr>
          <w:rFonts w:eastAsia="Calibri" w:cs="Times New Roman"/>
          <w:b/>
          <w:bCs/>
          <w:szCs w:val="30"/>
        </w:rPr>
        <w:t>Э</w:t>
      </w:r>
      <w:r w:rsidRPr="00AC62B9">
        <w:rPr>
          <w:rFonts w:eastAsia="Calibri" w:cs="Times New Roman"/>
          <w:b/>
          <w:bCs/>
          <w:szCs w:val="30"/>
        </w:rPr>
        <w:t>лектро</w:t>
      </w:r>
      <w:r w:rsidRPr="00054E97">
        <w:rPr>
          <w:rFonts w:eastAsia="Calibri" w:cs="Times New Roman"/>
          <w:b/>
          <w:bCs/>
          <w:szCs w:val="30"/>
        </w:rPr>
        <w:t>техническая продукция,</w:t>
      </w:r>
      <w:r w:rsidRPr="00AC62B9">
        <w:rPr>
          <w:rFonts w:eastAsia="Calibri" w:cs="Times New Roman"/>
          <w:b/>
          <w:bCs/>
          <w:szCs w:val="30"/>
        </w:rPr>
        <w:t xml:space="preserve"> продукци</w:t>
      </w:r>
      <w:r w:rsidRPr="00054E97">
        <w:rPr>
          <w:rFonts w:eastAsia="Calibri" w:cs="Times New Roman"/>
          <w:b/>
          <w:bCs/>
          <w:szCs w:val="30"/>
        </w:rPr>
        <w:t>я</w:t>
      </w:r>
      <w:r w:rsidRPr="00AC62B9">
        <w:rPr>
          <w:rFonts w:eastAsia="Calibri" w:cs="Times New Roman"/>
          <w:b/>
          <w:bCs/>
          <w:szCs w:val="30"/>
        </w:rPr>
        <w:t xml:space="preserve"> химической промышленности,</w:t>
      </w:r>
      <w:r w:rsidRPr="00054E97">
        <w:rPr>
          <w:rFonts w:eastAsia="Calibri" w:cs="Times New Roman"/>
          <w:b/>
          <w:bCs/>
          <w:szCs w:val="30"/>
        </w:rPr>
        <w:t xml:space="preserve"> удобрения:</w:t>
      </w:r>
    </w:p>
    <w:p w:rsidR="00054E97" w:rsidRPr="00054E97" w:rsidRDefault="00054E97" w:rsidP="00054E97">
      <w:pPr>
        <w:widowControl w:val="0"/>
        <w:ind w:firstLine="709"/>
        <w:jc w:val="both"/>
        <w:rPr>
          <w:rFonts w:eastAsia="Calibri" w:cs="Times New Roman"/>
          <w:szCs w:val="30"/>
        </w:rPr>
      </w:pPr>
      <w:r w:rsidRPr="00054E97">
        <w:rPr>
          <w:rFonts w:eastAsia="Calibri" w:cs="Times New Roman"/>
          <w:i/>
          <w:szCs w:val="30"/>
        </w:rPr>
        <w:t>Характерными нарушениями</w:t>
      </w:r>
      <w:r w:rsidRPr="00054E97">
        <w:rPr>
          <w:rFonts w:eastAsia="Calibri" w:cs="Times New Roman"/>
          <w:szCs w:val="30"/>
        </w:rPr>
        <w:t>, выявляемыми в ходе КНМ, являются:</w:t>
      </w:r>
    </w:p>
    <w:p w:rsidR="00054E97" w:rsidRPr="00054E97" w:rsidRDefault="00054E97" w:rsidP="00054E97">
      <w:pPr>
        <w:ind w:firstLine="709"/>
        <w:jc w:val="both"/>
        <w:rPr>
          <w:rFonts w:eastAsia="Calibri" w:cs="Times New Roman"/>
          <w:szCs w:val="30"/>
        </w:rPr>
      </w:pPr>
      <w:r w:rsidRPr="00054E97">
        <w:rPr>
          <w:rFonts w:eastAsia="Calibri" w:cs="Times New Roman"/>
          <w:szCs w:val="30"/>
        </w:rPr>
        <w:t>отсутствие недопустимого риска при перегрузках, аварийных режимах и отказах, вызываемых влиянием внешних и внутренних воздействующих факторов, при подключении и (или) монтаже;</w:t>
      </w:r>
    </w:p>
    <w:p w:rsidR="00054E97" w:rsidRPr="00054E97" w:rsidRDefault="00054E97" w:rsidP="00054E97">
      <w:pPr>
        <w:ind w:firstLine="709"/>
        <w:jc w:val="both"/>
        <w:rPr>
          <w:rFonts w:eastAsia="Calibri" w:cs="Times New Roman"/>
          <w:szCs w:val="30"/>
        </w:rPr>
      </w:pPr>
      <w:r w:rsidRPr="00054E97">
        <w:rPr>
          <w:rFonts w:eastAsia="Calibri" w:cs="Times New Roman"/>
          <w:szCs w:val="30"/>
        </w:rPr>
        <w:t xml:space="preserve">создаваемые оборудованием электромагнитные помехи (квазипиковые значения напряжения радиопомех, создаваемые </w:t>
      </w:r>
      <w:r w:rsidRPr="00054E97">
        <w:rPr>
          <w:rFonts w:eastAsia="Calibri" w:cs="Times New Roman"/>
          <w:szCs w:val="30"/>
        </w:rPr>
        <w:br/>
        <w:t xml:space="preserve">на сетевых зажимах) превышают допустимые нормы; </w:t>
      </w:r>
    </w:p>
    <w:p w:rsidR="00054E97" w:rsidRDefault="00054E97" w:rsidP="00054E97">
      <w:pPr>
        <w:ind w:firstLine="709"/>
        <w:jc w:val="both"/>
        <w:rPr>
          <w:rFonts w:eastAsia="Calibri" w:cs="Times New Roman"/>
          <w:szCs w:val="30"/>
        </w:rPr>
      </w:pPr>
      <w:r w:rsidRPr="00054E97">
        <w:rPr>
          <w:rFonts w:eastAsia="Calibri" w:cs="Times New Roman"/>
          <w:szCs w:val="30"/>
        </w:rPr>
        <w:t xml:space="preserve">непредставление потребителю необходимой информации для безопасного применения низковольтного оборудования по назначению, характеристиках и параметрах (отсутствие эксплуатационных документов, неполная и недостоверная информация в документах для светотехнических изделий - отсутствие в маркировке тока потребления, размещение маркировки мощности ламп на поверхности светильника, невидимой при замене ламп; </w:t>
      </w:r>
      <w:r w:rsidRPr="00054E97">
        <w:rPr>
          <w:rFonts w:eastAsia="Calibri" w:cs="Times New Roman"/>
          <w:bCs/>
          <w:szCs w:val="30"/>
        </w:rPr>
        <w:t xml:space="preserve">для изделий, оснащенных шнуром питания – отсутствие в эксплуатационных документах указаний по замене шнура в случае его повреждения </w:t>
      </w:r>
      <w:r w:rsidRPr="00054E97">
        <w:rPr>
          <w:rFonts w:eastAsia="Calibri" w:cs="Times New Roman"/>
          <w:szCs w:val="30"/>
        </w:rPr>
        <w:t xml:space="preserve">и т.д.), в </w:t>
      </w:r>
      <w:proofErr w:type="spellStart"/>
      <w:r w:rsidRPr="00054E97">
        <w:rPr>
          <w:rFonts w:eastAsia="Calibri" w:cs="Times New Roman"/>
          <w:szCs w:val="30"/>
        </w:rPr>
        <w:t>т.ч</w:t>
      </w:r>
      <w:proofErr w:type="spellEnd"/>
      <w:r w:rsidRPr="00054E97">
        <w:rPr>
          <w:rFonts w:eastAsia="Calibri" w:cs="Times New Roman"/>
          <w:szCs w:val="30"/>
        </w:rPr>
        <w:t>. об импортере, дате изготовления, мерах, которые следует предпринять при обнаружении неисправности оборудования). В ряде случаев маркировка изделий не обладает достаточной прочностью, что затрудняет правильную эксплуатацию продукции в течение всего срока службы;</w:t>
      </w:r>
    </w:p>
    <w:p w:rsidR="00677547" w:rsidRDefault="00677547" w:rsidP="00677547">
      <w:pPr>
        <w:ind w:firstLine="709"/>
        <w:jc w:val="both"/>
        <w:rPr>
          <w:rFonts w:eastAsia="Calibri" w:cs="Times New Roman"/>
          <w:szCs w:val="30"/>
        </w:rPr>
      </w:pPr>
      <w:r w:rsidRPr="00677547">
        <w:rPr>
          <w:rFonts w:eastAsia="Calibri" w:cs="Times New Roman"/>
          <w:szCs w:val="30"/>
        </w:rPr>
        <w:lastRenderedPageBreak/>
        <w:t xml:space="preserve">необеспечение оборудованием необходимого уровня защиты </w:t>
      </w:r>
      <w:r w:rsidRPr="00677547">
        <w:rPr>
          <w:rFonts w:eastAsia="Calibri" w:cs="Times New Roman"/>
          <w:szCs w:val="30"/>
        </w:rPr>
        <w:br/>
        <w:t xml:space="preserve">от прямого или косвенного воздействия электрического тока </w:t>
      </w:r>
      <w:r w:rsidRPr="00677547">
        <w:rPr>
          <w:rFonts w:eastAsia="Calibri" w:cs="Times New Roman"/>
          <w:szCs w:val="30"/>
        </w:rPr>
        <w:br/>
        <w:t>и необходимого уровня изоляционной защиты;</w:t>
      </w:r>
    </w:p>
    <w:p w:rsidR="00477802" w:rsidRPr="00054E97" w:rsidRDefault="00477802" w:rsidP="00477802">
      <w:pPr>
        <w:ind w:firstLine="709"/>
        <w:jc w:val="both"/>
        <w:rPr>
          <w:rFonts w:eastAsia="Calibri" w:cs="Times New Roman"/>
          <w:szCs w:val="30"/>
        </w:rPr>
      </w:pPr>
      <w:r w:rsidRPr="00477802">
        <w:rPr>
          <w:rFonts w:eastAsia="Calibri" w:cs="Times New Roman"/>
          <w:szCs w:val="30"/>
        </w:rPr>
        <w:t xml:space="preserve">не указаны номинальная частота в герцах и информация </w:t>
      </w:r>
      <w:r w:rsidRPr="00477802">
        <w:rPr>
          <w:rFonts w:eastAsia="Calibri" w:cs="Times New Roman"/>
          <w:szCs w:val="30"/>
        </w:rPr>
        <w:br/>
        <w:t>о коэффициенте мощности и токе, потребляемом из сети;</w:t>
      </w:r>
    </w:p>
    <w:p w:rsidR="00054E97" w:rsidRPr="00054E97" w:rsidRDefault="00054E97" w:rsidP="00054E97">
      <w:pPr>
        <w:ind w:firstLine="709"/>
        <w:jc w:val="both"/>
        <w:rPr>
          <w:rFonts w:eastAsia="Calibri" w:cs="Times New Roman"/>
          <w:szCs w:val="30"/>
        </w:rPr>
      </w:pPr>
      <w:r w:rsidRPr="00054E97">
        <w:rPr>
          <w:rFonts w:eastAsia="Calibri" w:cs="Times New Roman"/>
          <w:szCs w:val="30"/>
        </w:rPr>
        <w:t>показатели «пенообразующая способность» и «моющая способность» превышают установленные нормы;</w:t>
      </w:r>
    </w:p>
    <w:p w:rsidR="00054E97" w:rsidRDefault="00054E97" w:rsidP="00054E97">
      <w:pPr>
        <w:ind w:firstLine="709"/>
        <w:jc w:val="both"/>
        <w:rPr>
          <w:rFonts w:eastAsia="Calibri" w:cs="Times New Roman"/>
          <w:szCs w:val="30"/>
        </w:rPr>
      </w:pPr>
      <w:r w:rsidRPr="00054E97">
        <w:rPr>
          <w:rFonts w:eastAsia="Calibri" w:cs="Times New Roman"/>
          <w:szCs w:val="30"/>
        </w:rPr>
        <w:t>отсутствие документов о подтверждении соответствия.</w:t>
      </w:r>
    </w:p>
    <w:p w:rsidR="00054E97" w:rsidRDefault="009367F0" w:rsidP="009367F0">
      <w:pPr>
        <w:jc w:val="both"/>
        <w:rPr>
          <w:rFonts w:eastAsia="Calibri" w:cs="Times New Roman"/>
          <w:b/>
          <w:bCs/>
          <w:szCs w:val="30"/>
        </w:rPr>
      </w:pPr>
      <w:r w:rsidRPr="009367F0">
        <w:rPr>
          <w:rFonts w:eastAsia="Calibri" w:cs="Times New Roman"/>
          <w:b/>
          <w:bCs/>
          <w:szCs w:val="30"/>
        </w:rPr>
        <w:t>П</w:t>
      </w:r>
      <w:r w:rsidR="006E4598" w:rsidRPr="009367F0">
        <w:rPr>
          <w:rFonts w:eastAsia="Calibri" w:cs="Times New Roman"/>
          <w:b/>
          <w:bCs/>
          <w:szCs w:val="30"/>
        </w:rPr>
        <w:t>родукци</w:t>
      </w:r>
      <w:r w:rsidRPr="009367F0">
        <w:rPr>
          <w:rFonts w:eastAsia="Calibri" w:cs="Times New Roman"/>
          <w:b/>
          <w:bCs/>
          <w:szCs w:val="30"/>
        </w:rPr>
        <w:t>я</w:t>
      </w:r>
      <w:r w:rsidR="006E4598" w:rsidRPr="009367F0">
        <w:rPr>
          <w:rFonts w:eastAsia="Calibri" w:cs="Times New Roman"/>
          <w:b/>
          <w:bCs/>
          <w:szCs w:val="30"/>
        </w:rPr>
        <w:t xml:space="preserve"> легкой промышленности, продукции, предназначенной для детей и подростков, средств индивидуальной защиты, игрушек </w:t>
      </w:r>
      <w:r w:rsidR="006E4598" w:rsidRPr="009367F0">
        <w:rPr>
          <w:rFonts w:eastAsia="Calibri" w:cs="Times New Roman"/>
          <w:b/>
          <w:bCs/>
          <w:szCs w:val="30"/>
        </w:rPr>
        <w:br/>
        <w:t>и мебельной продукции</w:t>
      </w:r>
      <w:r w:rsidRPr="009367F0">
        <w:rPr>
          <w:rFonts w:eastAsia="Calibri" w:cs="Times New Roman"/>
          <w:b/>
          <w:bCs/>
          <w:szCs w:val="30"/>
        </w:rPr>
        <w:t>:</w:t>
      </w:r>
    </w:p>
    <w:p w:rsidR="009367F0" w:rsidRPr="009367F0" w:rsidRDefault="009367F0" w:rsidP="009367F0">
      <w:pPr>
        <w:ind w:firstLine="709"/>
        <w:jc w:val="both"/>
        <w:rPr>
          <w:rFonts w:eastAsia="Calibri" w:cs="Times New Roman"/>
          <w:i/>
          <w:szCs w:val="30"/>
        </w:rPr>
      </w:pPr>
      <w:r w:rsidRPr="009367F0">
        <w:rPr>
          <w:rFonts w:eastAsia="Calibri" w:cs="Times New Roman"/>
          <w:i/>
          <w:szCs w:val="30"/>
        </w:rPr>
        <w:t>Характерные нарушения:</w:t>
      </w:r>
    </w:p>
    <w:p w:rsidR="009367F0" w:rsidRPr="009367F0" w:rsidRDefault="009367F0" w:rsidP="009367F0">
      <w:pPr>
        <w:ind w:firstLine="708"/>
        <w:jc w:val="both"/>
        <w:rPr>
          <w:rFonts w:eastAsia="Times New Roman" w:cs="Times New Roman"/>
          <w:i/>
          <w:szCs w:val="30"/>
          <w:lang w:eastAsia="ru-RU"/>
        </w:rPr>
      </w:pPr>
      <w:r w:rsidRPr="009367F0">
        <w:rPr>
          <w:rFonts w:eastAsia="Times New Roman" w:cs="Times New Roman"/>
          <w:i/>
          <w:szCs w:val="30"/>
          <w:lang w:eastAsia="ru-RU"/>
        </w:rPr>
        <w:t>по безопасности:</w:t>
      </w:r>
    </w:p>
    <w:p w:rsidR="009367F0" w:rsidRPr="009367F0" w:rsidRDefault="009367F0" w:rsidP="009367F0">
      <w:pPr>
        <w:ind w:firstLine="709"/>
        <w:jc w:val="both"/>
        <w:rPr>
          <w:rFonts w:eastAsia="Times New Roman" w:cs="Times New Roman"/>
          <w:i/>
          <w:szCs w:val="30"/>
          <w:lang w:eastAsia="ru-RU"/>
        </w:rPr>
      </w:pPr>
      <w:r w:rsidRPr="009367F0">
        <w:rPr>
          <w:rFonts w:eastAsia="Times New Roman" w:cs="Times New Roman"/>
          <w:i/>
          <w:szCs w:val="30"/>
          <w:lang w:eastAsia="ru-RU"/>
        </w:rPr>
        <w:t xml:space="preserve">в продукции легкой промышленности и продукции и продукции, предназначенной для детей и подростков - </w:t>
      </w:r>
      <w:r w:rsidRPr="009367F0">
        <w:rPr>
          <w:rFonts w:eastAsia="Calibri" w:cs="Times New Roman"/>
          <w:szCs w:val="30"/>
          <w:lang w:eastAsia="ru-RU"/>
        </w:rPr>
        <w:t xml:space="preserve">показатели «гигроскопичность» и «воздухопроницаемость» продукции ниже установленных норм; наличие соединительных швов </w:t>
      </w:r>
      <w:r w:rsidRPr="009367F0">
        <w:rPr>
          <w:rFonts w:eastAsia="Calibri" w:cs="Times New Roman"/>
          <w:szCs w:val="30"/>
          <w:lang w:eastAsia="ru-RU"/>
        </w:rPr>
        <w:br/>
        <w:t xml:space="preserve">с обметыванием срезов в бельевых изделиях для новорожденных </w:t>
      </w:r>
      <w:r w:rsidRPr="009367F0">
        <w:rPr>
          <w:rFonts w:eastAsia="Calibri" w:cs="Times New Roman"/>
          <w:szCs w:val="30"/>
          <w:lang w:eastAsia="ru-RU"/>
        </w:rPr>
        <w:br/>
        <w:t xml:space="preserve">на изнаночную сторону; превышение допустимого вложения химических волокон в текстильном материале подкладки и вкладной стельки в обуви ясельной группы и </w:t>
      </w:r>
      <w:proofErr w:type="spellStart"/>
      <w:r w:rsidRPr="009367F0">
        <w:rPr>
          <w:rFonts w:eastAsia="Calibri" w:cs="Times New Roman"/>
          <w:szCs w:val="30"/>
          <w:lang w:eastAsia="ru-RU"/>
        </w:rPr>
        <w:t>малодетской</w:t>
      </w:r>
      <w:proofErr w:type="spellEnd"/>
      <w:r w:rsidRPr="009367F0">
        <w:rPr>
          <w:rFonts w:eastAsia="Calibri" w:cs="Times New Roman"/>
          <w:szCs w:val="30"/>
          <w:lang w:eastAsia="ru-RU"/>
        </w:rPr>
        <w:t xml:space="preserve">; наличие недопустимой вкладной стельки из композиционной кожи в обуви </w:t>
      </w:r>
      <w:proofErr w:type="spellStart"/>
      <w:r w:rsidRPr="009367F0">
        <w:rPr>
          <w:rFonts w:eastAsia="Calibri" w:cs="Times New Roman"/>
          <w:szCs w:val="30"/>
          <w:lang w:eastAsia="ru-RU"/>
        </w:rPr>
        <w:t>малодетской</w:t>
      </w:r>
      <w:proofErr w:type="spellEnd"/>
      <w:r w:rsidRPr="009367F0">
        <w:rPr>
          <w:rFonts w:eastAsia="Calibri" w:cs="Times New Roman"/>
          <w:szCs w:val="30"/>
          <w:lang w:eastAsia="ru-RU"/>
        </w:rPr>
        <w:t xml:space="preserve">; показатель устойчивость окраски изделия к сухому и мокрому трению ниже установленных норм; недостоверная информация о составе сырья изделия; применение недопустимых видов бумаги (с массой площади </w:t>
      </w:r>
      <w:r w:rsidRPr="009367F0">
        <w:rPr>
          <w:rFonts w:eastAsia="Calibri" w:cs="Times New Roman"/>
          <w:szCs w:val="30"/>
          <w:lang w:eastAsia="ru-RU"/>
        </w:rPr>
        <w:br/>
        <w:t>1 м</w:t>
      </w:r>
      <w:r w:rsidRPr="009367F0">
        <w:rPr>
          <w:rFonts w:eastAsia="Calibri" w:cs="Times New Roman"/>
          <w:szCs w:val="30"/>
          <w:vertAlign w:val="superscript"/>
          <w:lang w:eastAsia="ru-RU"/>
        </w:rPr>
        <w:t>2</w:t>
      </w:r>
      <w:r w:rsidRPr="009367F0">
        <w:rPr>
          <w:rFonts w:eastAsia="Calibri" w:cs="Times New Roman"/>
          <w:szCs w:val="30"/>
          <w:lang w:eastAsia="ru-RU"/>
        </w:rPr>
        <w:t xml:space="preserve"> ниже допустимой нормы от (100+5) г до (160+7) г в альбомах </w:t>
      </w:r>
      <w:r w:rsidRPr="009367F0">
        <w:rPr>
          <w:rFonts w:eastAsia="Calibri" w:cs="Times New Roman"/>
          <w:szCs w:val="30"/>
          <w:lang w:eastAsia="ru-RU"/>
        </w:rPr>
        <w:br/>
        <w:t>для рисования;</w:t>
      </w:r>
    </w:p>
    <w:p w:rsidR="009367F0" w:rsidRPr="009367F0" w:rsidRDefault="009367F0" w:rsidP="009367F0">
      <w:pPr>
        <w:ind w:firstLine="709"/>
        <w:jc w:val="both"/>
        <w:rPr>
          <w:rFonts w:eastAsia="Calibri" w:cs="Times New Roman"/>
          <w:i/>
          <w:szCs w:val="30"/>
          <w:lang w:eastAsia="ru-RU"/>
        </w:rPr>
      </w:pPr>
      <w:r w:rsidRPr="009367F0">
        <w:rPr>
          <w:rFonts w:eastAsia="Calibri" w:cs="Times New Roman"/>
          <w:i/>
          <w:szCs w:val="30"/>
          <w:lang w:eastAsia="ru-RU"/>
        </w:rPr>
        <w:t xml:space="preserve">в игрушках - </w:t>
      </w:r>
      <w:r w:rsidRPr="009367F0">
        <w:rPr>
          <w:rFonts w:eastAsia="Calibri" w:cs="Times New Roman"/>
          <w:szCs w:val="30"/>
          <w:lang w:eastAsia="ru-RU"/>
        </w:rPr>
        <w:t xml:space="preserve">использование в игрушках недопустимых систем лазерного излучения; превышение допустимого эквивалентного </w:t>
      </w:r>
      <w:r w:rsidRPr="009367F0">
        <w:rPr>
          <w:rFonts w:eastAsia="Calibri" w:cs="Times New Roman"/>
          <w:szCs w:val="30"/>
          <w:lang w:eastAsia="ru-RU"/>
        </w:rPr>
        <w:br/>
        <w:t xml:space="preserve">и максимального уровня звука игрушек в озвученных игрушках, </w:t>
      </w:r>
      <w:r w:rsidRPr="009367F0">
        <w:rPr>
          <w:rFonts w:eastAsia="Calibri" w:cs="Times New Roman"/>
          <w:szCs w:val="30"/>
          <w:lang w:eastAsia="ru-RU"/>
        </w:rPr>
        <w:br/>
        <w:t>в том числе для открытого воздуха;</w:t>
      </w:r>
      <w:r w:rsidRPr="009367F0">
        <w:rPr>
          <w:rFonts w:eastAsia="Calibri" w:cs="Times New Roman"/>
          <w:i/>
          <w:szCs w:val="30"/>
          <w:lang w:eastAsia="ru-RU"/>
        </w:rPr>
        <w:t xml:space="preserve"> </w:t>
      </w:r>
      <w:r w:rsidRPr="009367F0">
        <w:rPr>
          <w:rFonts w:eastAsia="Calibri" w:cs="Times New Roman"/>
          <w:szCs w:val="30"/>
          <w:lang w:eastAsia="ru-RU"/>
        </w:rPr>
        <w:t xml:space="preserve">наличие недопустимого поверхностного окрашивания и росписи игрушек-погремушек </w:t>
      </w:r>
      <w:r w:rsidRPr="009367F0">
        <w:rPr>
          <w:rFonts w:eastAsia="Calibri" w:cs="Times New Roman"/>
          <w:szCs w:val="30"/>
          <w:lang w:eastAsia="ru-RU"/>
        </w:rPr>
        <w:br/>
        <w:t xml:space="preserve">и игрушек, контактирующих со ртом ребенка в игрушках для детей </w:t>
      </w:r>
      <w:r w:rsidRPr="009367F0">
        <w:rPr>
          <w:rFonts w:eastAsia="Calibri" w:cs="Times New Roman"/>
          <w:szCs w:val="30"/>
          <w:lang w:eastAsia="ru-RU"/>
        </w:rPr>
        <w:br/>
        <w:t>в возрасте до 3 лет;</w:t>
      </w:r>
    </w:p>
    <w:p w:rsidR="009367F0" w:rsidRPr="009367F0" w:rsidRDefault="009367F0" w:rsidP="009367F0">
      <w:pPr>
        <w:ind w:right="65" w:firstLine="720"/>
        <w:jc w:val="both"/>
        <w:rPr>
          <w:rFonts w:eastAsia="Times New Roman" w:cs="Times New Roman"/>
          <w:i/>
          <w:iCs/>
          <w:szCs w:val="30"/>
          <w:lang w:eastAsia="ru-RU"/>
        </w:rPr>
      </w:pPr>
      <w:r w:rsidRPr="009367F0">
        <w:rPr>
          <w:rFonts w:eastAsia="Times New Roman" w:cs="Times New Roman"/>
          <w:i/>
          <w:iCs/>
          <w:szCs w:val="30"/>
          <w:lang w:eastAsia="ru-RU"/>
        </w:rPr>
        <w:t xml:space="preserve">в мебели - </w:t>
      </w:r>
      <w:r w:rsidRPr="009367F0">
        <w:rPr>
          <w:rFonts w:eastAsia="Times New Roman" w:cs="Times New Roman"/>
          <w:bCs/>
          <w:szCs w:val="30"/>
          <w:lang w:eastAsia="ru-RU"/>
        </w:rPr>
        <w:t xml:space="preserve">по требованиям химической и санитарно-гигиенической безопасности ‒ отсутствует защитно-декоративное покрытие </w:t>
      </w:r>
      <w:r w:rsidRPr="009367F0">
        <w:rPr>
          <w:rFonts w:eastAsia="Times New Roman" w:cs="Times New Roman"/>
          <w:bCs/>
          <w:szCs w:val="30"/>
          <w:lang w:eastAsia="ru-RU"/>
        </w:rPr>
        <w:br/>
        <w:t>на поверхности задних кромок боковых стенок выдвижных ящиков изделий из древесных плитных материалов;</w:t>
      </w:r>
    </w:p>
    <w:p w:rsidR="009367F0" w:rsidRPr="009367F0" w:rsidRDefault="009367F0" w:rsidP="009367F0">
      <w:pPr>
        <w:ind w:right="65" w:firstLine="720"/>
        <w:jc w:val="both"/>
        <w:rPr>
          <w:rFonts w:eastAsia="Times New Roman" w:cs="Times New Roman"/>
          <w:bCs/>
          <w:i/>
          <w:szCs w:val="30"/>
          <w:lang w:eastAsia="ru-RU"/>
        </w:rPr>
      </w:pPr>
      <w:r w:rsidRPr="009367F0">
        <w:rPr>
          <w:rFonts w:eastAsia="Times New Roman" w:cs="Times New Roman"/>
          <w:bCs/>
          <w:i/>
          <w:szCs w:val="30"/>
          <w:lang w:eastAsia="ru-RU"/>
        </w:rPr>
        <w:t xml:space="preserve">в средствах индивидуальной защиты - </w:t>
      </w:r>
      <w:r w:rsidRPr="009367F0">
        <w:rPr>
          <w:rFonts w:eastAsia="Times New Roman" w:cs="Times New Roman"/>
          <w:bCs/>
          <w:szCs w:val="30"/>
          <w:lang w:eastAsia="ru-RU"/>
        </w:rPr>
        <w:t xml:space="preserve">превышение установленных норм по показателям боковая и остаточная деформация </w:t>
      </w:r>
      <w:r w:rsidRPr="009367F0">
        <w:rPr>
          <w:rFonts w:eastAsia="Times New Roman" w:cs="Times New Roman"/>
          <w:bCs/>
          <w:szCs w:val="30"/>
          <w:lang w:eastAsia="ru-RU"/>
        </w:rPr>
        <w:br/>
        <w:t>в касках защитных для строительно-монтажных работ;</w:t>
      </w:r>
      <w:r w:rsidRPr="009367F0">
        <w:rPr>
          <w:rFonts w:eastAsia="Times New Roman" w:cs="Times New Roman"/>
          <w:bCs/>
          <w:i/>
          <w:szCs w:val="30"/>
          <w:lang w:eastAsia="ru-RU"/>
        </w:rPr>
        <w:t xml:space="preserve"> </w:t>
      </w:r>
      <w:r w:rsidRPr="009367F0">
        <w:rPr>
          <w:rFonts w:eastAsia="Times New Roman" w:cs="Times New Roman"/>
          <w:bCs/>
          <w:szCs w:val="30"/>
          <w:lang w:eastAsia="ru-RU"/>
        </w:rPr>
        <w:t xml:space="preserve">низкая прочность стекол светофильтра в очках газосварщика; низкая стойкость к порезу </w:t>
      </w:r>
      <w:r w:rsidRPr="009367F0">
        <w:rPr>
          <w:rFonts w:eastAsia="Times New Roman" w:cs="Times New Roman"/>
          <w:bCs/>
          <w:szCs w:val="30"/>
          <w:lang w:eastAsia="ru-RU"/>
        </w:rPr>
        <w:lastRenderedPageBreak/>
        <w:t>перчаток защитных от порезов;</w:t>
      </w:r>
      <w:r w:rsidRPr="009367F0">
        <w:rPr>
          <w:rFonts w:eastAsia="Times New Roman" w:cs="Times New Roman"/>
          <w:bCs/>
          <w:i/>
          <w:szCs w:val="30"/>
          <w:lang w:eastAsia="ru-RU"/>
        </w:rPr>
        <w:t xml:space="preserve"> </w:t>
      </w:r>
      <w:r w:rsidRPr="009367F0">
        <w:rPr>
          <w:rFonts w:eastAsia="Times New Roman" w:cs="Times New Roman"/>
          <w:bCs/>
          <w:szCs w:val="30"/>
          <w:lang w:eastAsia="ru-RU"/>
        </w:rPr>
        <w:t xml:space="preserve">низкая прочность компонентов </w:t>
      </w:r>
      <w:r w:rsidRPr="009367F0">
        <w:rPr>
          <w:rFonts w:eastAsia="Times New Roman" w:cs="Times New Roman"/>
          <w:bCs/>
          <w:szCs w:val="30"/>
          <w:lang w:eastAsia="ru-RU"/>
        </w:rPr>
        <w:br/>
        <w:t xml:space="preserve">и соединительных элементов страховочных и удерживающих систем </w:t>
      </w:r>
      <w:r w:rsidRPr="009367F0">
        <w:rPr>
          <w:rFonts w:eastAsia="Times New Roman" w:cs="Times New Roman"/>
          <w:bCs/>
          <w:szCs w:val="30"/>
          <w:lang w:eastAsia="ru-RU"/>
        </w:rPr>
        <w:br/>
        <w:t>в поясах предохранительных строительных;</w:t>
      </w:r>
    </w:p>
    <w:p w:rsidR="009367F0" w:rsidRPr="009367F0" w:rsidRDefault="009367F0" w:rsidP="009367F0">
      <w:pPr>
        <w:ind w:right="65" w:firstLine="720"/>
        <w:jc w:val="both"/>
        <w:rPr>
          <w:rFonts w:eastAsia="Times New Roman" w:cs="Times New Roman"/>
          <w:i/>
          <w:szCs w:val="30"/>
          <w:lang w:eastAsia="ru-RU"/>
        </w:rPr>
      </w:pPr>
      <w:r w:rsidRPr="009367F0">
        <w:rPr>
          <w:rFonts w:eastAsia="Times New Roman" w:cs="Times New Roman"/>
          <w:i/>
          <w:szCs w:val="30"/>
          <w:lang w:eastAsia="ru-RU"/>
        </w:rPr>
        <w:t xml:space="preserve">по маркировке: </w:t>
      </w:r>
      <w:r w:rsidRPr="009367F0">
        <w:rPr>
          <w:rFonts w:eastAsia="Calibri" w:cs="Times New Roman"/>
          <w:szCs w:val="30"/>
          <w:lang w:eastAsia="ru-RU"/>
        </w:rPr>
        <w:t xml:space="preserve">отсутствие или неполная информация в маркировке о наименовании и местонахождении изготовителя и импортера, наименовании и назначении продукции, дате изготовления, отсутствует единый знак обращения продукции на рынке государств-членов Таможенного союза и др. обязательная информация; отсутствие инструкции, устанавливающей правила и условия безопасной эксплуатации, и инструкции по сборке (для мебели, поставляемой </w:t>
      </w:r>
      <w:r w:rsidRPr="009367F0">
        <w:rPr>
          <w:rFonts w:eastAsia="Calibri" w:cs="Times New Roman"/>
          <w:szCs w:val="30"/>
          <w:lang w:eastAsia="ru-RU"/>
        </w:rPr>
        <w:br/>
        <w:t>в разобранном виде);</w:t>
      </w:r>
      <w:r w:rsidRPr="009367F0">
        <w:rPr>
          <w:rFonts w:eastAsia="Times New Roman" w:cs="Times New Roman"/>
          <w:i/>
          <w:szCs w:val="30"/>
          <w:lang w:eastAsia="ru-RU"/>
        </w:rPr>
        <w:t xml:space="preserve"> </w:t>
      </w:r>
      <w:r w:rsidRPr="009367F0">
        <w:rPr>
          <w:rFonts w:eastAsia="Calibri" w:cs="Times New Roman"/>
          <w:szCs w:val="30"/>
          <w:lang w:eastAsia="ru-RU"/>
        </w:rPr>
        <w:t xml:space="preserve">отсутствие на маркировочных ярлыках </w:t>
      </w:r>
      <w:r w:rsidRPr="009367F0">
        <w:rPr>
          <w:rFonts w:eastAsia="Calibri" w:cs="Times New Roman"/>
          <w:szCs w:val="30"/>
          <w:lang w:eastAsia="ru-RU"/>
        </w:rPr>
        <w:br/>
        <w:t>и прилагаемых сопроводительных документах единого знака обращения продукции на рынке государств-членов Таможенного союза;</w:t>
      </w:r>
    </w:p>
    <w:p w:rsidR="009367F0" w:rsidRPr="009367F0" w:rsidRDefault="009367F0" w:rsidP="009367F0">
      <w:pPr>
        <w:ind w:firstLine="708"/>
        <w:jc w:val="both"/>
        <w:rPr>
          <w:rFonts w:eastAsia="Calibri" w:cs="Times New Roman"/>
          <w:i/>
          <w:szCs w:val="30"/>
        </w:rPr>
      </w:pPr>
      <w:r w:rsidRPr="009367F0">
        <w:rPr>
          <w:rFonts w:eastAsia="Calibri" w:cs="Times New Roman"/>
          <w:i/>
          <w:szCs w:val="30"/>
        </w:rPr>
        <w:t xml:space="preserve">по обязательному подтверждению соответствия: </w:t>
      </w:r>
      <w:r w:rsidRPr="009367F0">
        <w:rPr>
          <w:rFonts w:eastAsia="Calibri" w:cs="Times New Roman"/>
          <w:szCs w:val="30"/>
          <w:lang w:eastAsia="ru-RU"/>
        </w:rPr>
        <w:t xml:space="preserve">отсутствие документов о подтверждении соответствия при выпуске </w:t>
      </w:r>
      <w:r w:rsidRPr="009367F0">
        <w:rPr>
          <w:rFonts w:eastAsia="Calibri" w:cs="Times New Roman"/>
          <w:szCs w:val="30"/>
          <w:lang w:eastAsia="ru-RU"/>
        </w:rPr>
        <w:br/>
        <w:t>в обращение, реализации продукции, подлежащей обязательному подтверждению соответствия.</w:t>
      </w:r>
    </w:p>
    <w:p w:rsidR="009367F0" w:rsidRPr="0077239A" w:rsidRDefault="0077239A" w:rsidP="009367F0">
      <w:pPr>
        <w:jc w:val="both"/>
        <w:rPr>
          <w:rFonts w:eastAsia="Calibri" w:cs="Times New Roman"/>
          <w:b/>
          <w:szCs w:val="30"/>
        </w:rPr>
      </w:pPr>
      <w:r w:rsidRPr="0077239A">
        <w:rPr>
          <w:rFonts w:eastAsia="Calibri" w:cs="Times New Roman"/>
          <w:b/>
          <w:szCs w:val="30"/>
        </w:rPr>
        <w:t>Строительные материалы:</w:t>
      </w:r>
    </w:p>
    <w:p w:rsidR="00AF7FD3" w:rsidRPr="00AF7FD3" w:rsidRDefault="00AF7FD3" w:rsidP="00AF7FD3">
      <w:pPr>
        <w:ind w:left="142" w:firstLine="709"/>
        <w:contextualSpacing/>
        <w:jc w:val="both"/>
        <w:rPr>
          <w:rFonts w:eastAsia="Calibri" w:cs="Times New Roman"/>
          <w:szCs w:val="30"/>
        </w:rPr>
      </w:pPr>
      <w:r w:rsidRPr="00AF7FD3">
        <w:rPr>
          <w:rFonts w:eastAsia="Calibri" w:cs="Times New Roman"/>
          <w:i/>
          <w:szCs w:val="30"/>
        </w:rPr>
        <w:t>по безопасности</w:t>
      </w:r>
      <w:r w:rsidRPr="00AF7FD3">
        <w:rPr>
          <w:rFonts w:eastAsia="Calibri" w:cs="Times New Roman"/>
          <w:szCs w:val="30"/>
        </w:rPr>
        <w:t xml:space="preserve"> – не соблюдена толщина защитного слоя бетона </w:t>
      </w:r>
      <w:r w:rsidRPr="00AF7FD3">
        <w:rPr>
          <w:rFonts w:eastAsia="Calibri" w:cs="Times New Roman"/>
          <w:szCs w:val="30"/>
        </w:rPr>
        <w:br/>
        <w:t xml:space="preserve">до рабочей арматуры колец опорных, плит перекрытия, колец стеновых, плит днища, ригелей железобетонных (арматура находится </w:t>
      </w:r>
      <w:r w:rsidRPr="00AF7FD3">
        <w:rPr>
          <w:rFonts w:eastAsia="Calibri" w:cs="Times New Roman"/>
          <w:szCs w:val="30"/>
        </w:rPr>
        <w:br/>
        <w:t>на поверхности изделия, не обеспечено антикоррозионное покрытие ходовых скоб);</w:t>
      </w:r>
    </w:p>
    <w:p w:rsidR="00AF7FD3" w:rsidRPr="00AF7FD3" w:rsidRDefault="00AF7FD3" w:rsidP="00AF7FD3">
      <w:pPr>
        <w:autoSpaceDE w:val="0"/>
        <w:autoSpaceDN w:val="0"/>
        <w:adjustRightInd w:val="0"/>
        <w:ind w:left="142" w:right="-2" w:firstLine="567"/>
        <w:jc w:val="both"/>
        <w:rPr>
          <w:rFonts w:eastAsia="Calibri" w:cs="Times New Roman"/>
          <w:bCs/>
          <w:szCs w:val="30"/>
          <w:lang w:eastAsia="ru-RU"/>
        </w:rPr>
      </w:pPr>
      <w:r w:rsidRPr="00AF7FD3">
        <w:rPr>
          <w:rFonts w:eastAsia="Calibri" w:cs="Times New Roman"/>
          <w:bCs/>
          <w:i/>
          <w:szCs w:val="30"/>
          <w:lang w:eastAsia="ru-RU"/>
        </w:rPr>
        <w:t>по качеству</w:t>
      </w:r>
      <w:r w:rsidRPr="00AF7FD3">
        <w:rPr>
          <w:rFonts w:eastAsia="Calibri" w:cs="Times New Roman"/>
          <w:bCs/>
          <w:szCs w:val="30"/>
          <w:lang w:eastAsia="ru-RU"/>
        </w:rPr>
        <w:t xml:space="preserve"> – не соблюдены требования ТНПА и конструкторской документации к устройству наружных и внутренних водоотводов </w:t>
      </w:r>
      <w:r w:rsidRPr="00AF7FD3">
        <w:rPr>
          <w:rFonts w:eastAsia="Calibri" w:cs="Times New Roman"/>
          <w:bCs/>
          <w:szCs w:val="30"/>
          <w:lang w:eastAsia="ru-RU"/>
        </w:rPr>
        <w:br/>
        <w:t xml:space="preserve">и вентиляционных отверстий в оконных коробках и горизонтальных импостах оконных блоков: превышение расстояний между дренажными отверстиями в оконных блоках, несоответствие их количества; несоблюдение основных параметров в части выполнения дренажей </w:t>
      </w:r>
      <w:r w:rsidRPr="00AF7FD3">
        <w:rPr>
          <w:rFonts w:eastAsia="Calibri" w:cs="Times New Roman"/>
          <w:bCs/>
          <w:szCs w:val="30"/>
          <w:lang w:eastAsia="ru-RU"/>
        </w:rPr>
        <w:br/>
        <w:t xml:space="preserve">и вентиляционных отверстий в </w:t>
      </w:r>
      <w:proofErr w:type="spellStart"/>
      <w:r w:rsidRPr="00AF7FD3">
        <w:rPr>
          <w:rFonts w:eastAsia="Calibri" w:cs="Times New Roman"/>
          <w:bCs/>
          <w:szCs w:val="30"/>
          <w:lang w:eastAsia="ru-RU"/>
        </w:rPr>
        <w:t>светопрозрачных</w:t>
      </w:r>
      <w:proofErr w:type="spellEnd"/>
      <w:r w:rsidRPr="00AF7FD3">
        <w:rPr>
          <w:rFonts w:eastAsia="Calibri" w:cs="Times New Roman"/>
          <w:bCs/>
          <w:szCs w:val="30"/>
          <w:lang w:eastAsia="ru-RU"/>
        </w:rPr>
        <w:t xml:space="preserve"> конструкциях;</w:t>
      </w:r>
    </w:p>
    <w:p w:rsidR="00AF7FD3" w:rsidRPr="00AF7FD3" w:rsidRDefault="00AF7FD3" w:rsidP="00AF7FD3">
      <w:pPr>
        <w:autoSpaceDE w:val="0"/>
        <w:autoSpaceDN w:val="0"/>
        <w:adjustRightInd w:val="0"/>
        <w:ind w:left="142" w:right="-2" w:firstLine="567"/>
        <w:jc w:val="both"/>
        <w:rPr>
          <w:rFonts w:eastAsia="Calibri" w:cs="Times New Roman"/>
          <w:szCs w:val="30"/>
        </w:rPr>
      </w:pPr>
      <w:r w:rsidRPr="00AF7FD3">
        <w:rPr>
          <w:rFonts w:eastAsia="Calibri" w:cs="Times New Roman"/>
          <w:i/>
          <w:szCs w:val="30"/>
        </w:rPr>
        <w:t>по маркировке</w:t>
      </w:r>
      <w:r w:rsidRPr="00AF7FD3">
        <w:rPr>
          <w:rFonts w:eastAsia="Calibri" w:cs="Times New Roman"/>
          <w:szCs w:val="30"/>
        </w:rPr>
        <w:t xml:space="preserve"> – маркировка плит перекрытий, ригелей железобетонных, блоков вентиляционных, объемных блоков шахты лифта, экранов ограждения лоджий, панелей наружных стеновых выполнена от руки без использования шрифта, не читаема;</w:t>
      </w:r>
    </w:p>
    <w:p w:rsidR="00AF7FD3" w:rsidRPr="00AF7FD3" w:rsidRDefault="00AF7FD3" w:rsidP="00AF7FD3">
      <w:pPr>
        <w:ind w:left="142" w:firstLine="566"/>
        <w:contextualSpacing/>
        <w:jc w:val="both"/>
        <w:rPr>
          <w:rFonts w:eastAsia="Calibri" w:cs="Times New Roman"/>
          <w:szCs w:val="30"/>
        </w:rPr>
      </w:pPr>
      <w:r w:rsidRPr="00AF7FD3">
        <w:rPr>
          <w:rFonts w:eastAsia="Calibri" w:cs="Times New Roman"/>
          <w:i/>
          <w:szCs w:val="30"/>
        </w:rPr>
        <w:t>по требованию обязательного подтверждения соответствия</w:t>
      </w:r>
      <w:r w:rsidRPr="00AF7FD3">
        <w:rPr>
          <w:rFonts w:eastAsia="Calibri" w:cs="Times New Roman"/>
          <w:szCs w:val="30"/>
        </w:rPr>
        <w:t xml:space="preserve"> – отсутствие документов о подтверждении соответствия; </w:t>
      </w:r>
    </w:p>
    <w:p w:rsidR="00AF7FD3" w:rsidRPr="00AF7FD3" w:rsidRDefault="00AF7FD3" w:rsidP="00AF7FD3">
      <w:pPr>
        <w:ind w:left="142" w:firstLine="566"/>
        <w:contextualSpacing/>
        <w:jc w:val="both"/>
        <w:rPr>
          <w:rFonts w:eastAsia="Calibri" w:cs="Times New Roman"/>
          <w:szCs w:val="30"/>
        </w:rPr>
      </w:pPr>
      <w:r w:rsidRPr="00AF7FD3">
        <w:rPr>
          <w:rFonts w:eastAsia="Calibri" w:cs="Times New Roman"/>
          <w:szCs w:val="30"/>
        </w:rPr>
        <w:t xml:space="preserve">по требованиям к заполнению паспортов на продукцию – в документах о качестве гнутых деталей из металлической арматуры </w:t>
      </w:r>
      <w:r w:rsidRPr="00AF7FD3">
        <w:rPr>
          <w:rFonts w:eastAsia="Calibri" w:cs="Times New Roman"/>
          <w:szCs w:val="30"/>
        </w:rPr>
        <w:br/>
        <w:t xml:space="preserve">не указан физический и условных предел текучести, относительное удлинение после разрыва, химический состав, бетонных конструкций </w:t>
      </w:r>
      <w:r w:rsidRPr="00AF7FD3">
        <w:rPr>
          <w:rFonts w:eastAsia="Calibri" w:cs="Times New Roman"/>
          <w:szCs w:val="30"/>
        </w:rPr>
        <w:br/>
        <w:t xml:space="preserve">для стен подвалов не указаны номера партий изделий, нормируемая </w:t>
      </w:r>
      <w:r w:rsidRPr="00AF7FD3">
        <w:rPr>
          <w:rFonts w:eastAsia="Calibri" w:cs="Times New Roman"/>
          <w:szCs w:val="30"/>
        </w:rPr>
        <w:br/>
        <w:t xml:space="preserve">и фактическая прочность бетона; </w:t>
      </w:r>
    </w:p>
    <w:p w:rsidR="00AF7FD3" w:rsidRPr="00AF7FD3" w:rsidRDefault="00AF7FD3" w:rsidP="00AF7FD3">
      <w:pPr>
        <w:ind w:left="142" w:firstLine="566"/>
        <w:contextualSpacing/>
        <w:jc w:val="both"/>
        <w:rPr>
          <w:rFonts w:eastAsia="Calibri" w:cs="Times New Roman"/>
          <w:szCs w:val="30"/>
        </w:rPr>
      </w:pPr>
      <w:r w:rsidRPr="00AF7FD3">
        <w:rPr>
          <w:rFonts w:eastAsia="Calibri" w:cs="Times New Roman"/>
          <w:szCs w:val="30"/>
        </w:rPr>
        <w:lastRenderedPageBreak/>
        <w:t xml:space="preserve">по хранению – хранение гнутых деталей из металлической арматуры </w:t>
      </w:r>
      <w:r w:rsidRPr="00AF7FD3">
        <w:rPr>
          <w:rFonts w:eastAsia="Calibri" w:cs="Times New Roman"/>
          <w:szCs w:val="30"/>
        </w:rPr>
        <w:br/>
        <w:t xml:space="preserve">на строительной площадке осуществляется без защиты от атмосферных осадков, партии труб стальных квадратных на складе торгового магазина также осуществляется без защиты от атмосферных осадков, </w:t>
      </w:r>
      <w:r w:rsidRPr="00AF7FD3">
        <w:rPr>
          <w:rFonts w:eastAsia="Calibri" w:cs="Times New Roman"/>
          <w:szCs w:val="30"/>
        </w:rPr>
        <w:br/>
        <w:t xml:space="preserve">что не соответствует требованиям ТНПА в части условий хранения (должны храниться под навесом). </w:t>
      </w:r>
    </w:p>
    <w:p w:rsidR="004F41F1" w:rsidRPr="00E6656C" w:rsidRDefault="004F41F1" w:rsidP="004F41F1">
      <w:pPr>
        <w:autoSpaceDE w:val="0"/>
        <w:autoSpaceDN w:val="0"/>
        <w:adjustRightInd w:val="0"/>
        <w:ind w:right="-2"/>
        <w:jc w:val="both"/>
        <w:rPr>
          <w:rFonts w:eastAsia="Calibri" w:cs="Times New Roman"/>
          <w:b/>
          <w:bCs/>
          <w:sz w:val="28"/>
          <w:szCs w:val="28"/>
          <w:lang w:eastAsia="ru-RU"/>
        </w:rPr>
      </w:pPr>
      <w:r w:rsidRPr="00E6656C">
        <w:rPr>
          <w:rFonts w:eastAsia="Calibri" w:cs="Times New Roman"/>
          <w:b/>
          <w:bCs/>
          <w:sz w:val="28"/>
          <w:szCs w:val="28"/>
          <w:lang w:eastAsia="ru-RU"/>
        </w:rPr>
        <w:t>ТР ЕАЭС 038/201</w:t>
      </w:r>
      <w:r>
        <w:rPr>
          <w:rFonts w:eastAsia="Calibri" w:cs="Times New Roman"/>
          <w:b/>
          <w:bCs/>
          <w:sz w:val="28"/>
          <w:szCs w:val="28"/>
          <w:lang w:eastAsia="ru-RU"/>
        </w:rPr>
        <w:t>6 «О безопасности аттракционов»</w:t>
      </w:r>
    </w:p>
    <w:p w:rsidR="004F41F1" w:rsidRPr="00870487" w:rsidRDefault="004F41F1" w:rsidP="004F41F1">
      <w:pPr>
        <w:autoSpaceDE w:val="0"/>
        <w:autoSpaceDN w:val="0"/>
        <w:adjustRightInd w:val="0"/>
        <w:ind w:right="-2" w:firstLine="709"/>
        <w:jc w:val="both"/>
        <w:rPr>
          <w:rFonts w:eastAsia="Calibri" w:cs="Times New Roman"/>
          <w:bCs/>
          <w:i/>
          <w:szCs w:val="30"/>
          <w:lang w:eastAsia="ru-RU"/>
        </w:rPr>
      </w:pPr>
      <w:r w:rsidRPr="00870487">
        <w:rPr>
          <w:rFonts w:eastAsia="Calibri" w:cs="Times New Roman"/>
          <w:bCs/>
          <w:i/>
          <w:szCs w:val="30"/>
          <w:lang w:eastAsia="ru-RU"/>
        </w:rPr>
        <w:t>Характерны</w:t>
      </w:r>
      <w:r w:rsidR="00870487" w:rsidRPr="00870487">
        <w:rPr>
          <w:rFonts w:eastAsia="Calibri" w:cs="Times New Roman"/>
          <w:bCs/>
          <w:i/>
          <w:szCs w:val="30"/>
          <w:lang w:eastAsia="ru-RU"/>
        </w:rPr>
        <w:t>е</w:t>
      </w:r>
      <w:r w:rsidRPr="00870487">
        <w:rPr>
          <w:rFonts w:eastAsia="Calibri" w:cs="Times New Roman"/>
          <w:bCs/>
          <w:i/>
          <w:szCs w:val="30"/>
          <w:lang w:eastAsia="ru-RU"/>
        </w:rPr>
        <w:t xml:space="preserve"> нарушения</w:t>
      </w:r>
      <w:r w:rsidR="00870487">
        <w:rPr>
          <w:rFonts w:eastAsia="Calibri" w:cs="Times New Roman"/>
          <w:bCs/>
          <w:i/>
          <w:szCs w:val="30"/>
          <w:lang w:eastAsia="ru-RU"/>
        </w:rPr>
        <w:t>:</w:t>
      </w:r>
    </w:p>
    <w:p w:rsidR="004F41F1" w:rsidRPr="006B2562" w:rsidRDefault="004F41F1" w:rsidP="004F41F1">
      <w:pPr>
        <w:autoSpaceDE w:val="0"/>
        <w:autoSpaceDN w:val="0"/>
        <w:adjustRightInd w:val="0"/>
        <w:ind w:right="-2" w:firstLine="709"/>
        <w:jc w:val="both"/>
        <w:rPr>
          <w:rFonts w:eastAsia="Calibri" w:cs="Times New Roman"/>
          <w:bCs/>
          <w:szCs w:val="30"/>
          <w:lang w:eastAsia="ru-RU"/>
        </w:rPr>
      </w:pPr>
      <w:r w:rsidRPr="006B2562">
        <w:rPr>
          <w:rFonts w:eastAsia="Calibri" w:cs="Times New Roman"/>
          <w:bCs/>
          <w:szCs w:val="30"/>
          <w:lang w:eastAsia="ru-RU"/>
        </w:rPr>
        <w:t>открытый, незащищенный от пользователей и посетителей, доступ к компрессору, его кабелю и органам управления (выключателям);</w:t>
      </w:r>
    </w:p>
    <w:p w:rsidR="004F41F1" w:rsidRPr="006B2562" w:rsidRDefault="004F41F1" w:rsidP="004F41F1">
      <w:pPr>
        <w:autoSpaceDE w:val="0"/>
        <w:autoSpaceDN w:val="0"/>
        <w:adjustRightInd w:val="0"/>
        <w:ind w:right="-2" w:firstLine="709"/>
        <w:jc w:val="both"/>
        <w:rPr>
          <w:rFonts w:eastAsia="Calibri" w:cs="Times New Roman"/>
          <w:bCs/>
          <w:szCs w:val="30"/>
          <w:lang w:eastAsia="ru-RU"/>
        </w:rPr>
      </w:pPr>
      <w:r w:rsidRPr="006B2562">
        <w:rPr>
          <w:rFonts w:eastAsia="Calibri" w:cs="Times New Roman"/>
          <w:bCs/>
          <w:szCs w:val="30"/>
          <w:lang w:eastAsia="ru-RU"/>
        </w:rPr>
        <w:t>повреждения тканевой основы и швов оболочки (через повреждения выходит воздух, что может привести к травме пользователя);</w:t>
      </w:r>
    </w:p>
    <w:p w:rsidR="004F41F1" w:rsidRPr="006B2562" w:rsidRDefault="004F41F1" w:rsidP="004F41F1">
      <w:pPr>
        <w:autoSpaceDE w:val="0"/>
        <w:autoSpaceDN w:val="0"/>
        <w:adjustRightInd w:val="0"/>
        <w:ind w:right="-2" w:firstLine="709"/>
        <w:jc w:val="both"/>
        <w:rPr>
          <w:rFonts w:eastAsia="Calibri" w:cs="Times New Roman"/>
          <w:bCs/>
          <w:szCs w:val="30"/>
          <w:lang w:eastAsia="ru-RU"/>
        </w:rPr>
      </w:pPr>
      <w:r w:rsidRPr="006B2562">
        <w:rPr>
          <w:rFonts w:eastAsia="Calibri" w:cs="Times New Roman"/>
          <w:bCs/>
          <w:szCs w:val="30"/>
          <w:lang w:eastAsia="ru-RU"/>
        </w:rPr>
        <w:t xml:space="preserve">наличие доступных частей аттракционов и ограждений с острыми кромками, способными нанести травму; </w:t>
      </w:r>
    </w:p>
    <w:p w:rsidR="004F41F1" w:rsidRPr="006B2562" w:rsidRDefault="004F41F1" w:rsidP="004F41F1">
      <w:pPr>
        <w:autoSpaceDE w:val="0"/>
        <w:autoSpaceDN w:val="0"/>
        <w:adjustRightInd w:val="0"/>
        <w:ind w:right="-2" w:firstLine="709"/>
        <w:jc w:val="both"/>
        <w:rPr>
          <w:rFonts w:eastAsia="Calibri" w:cs="Times New Roman"/>
          <w:bCs/>
          <w:szCs w:val="30"/>
          <w:lang w:eastAsia="ru-RU"/>
        </w:rPr>
      </w:pPr>
      <w:r w:rsidRPr="006B2562">
        <w:rPr>
          <w:rFonts w:eastAsia="Calibri" w:cs="Times New Roman"/>
          <w:bCs/>
          <w:szCs w:val="30"/>
          <w:lang w:eastAsia="ru-RU"/>
        </w:rPr>
        <w:t xml:space="preserve">отсутствие обязательных вспомогательных устройств аттракционов </w:t>
      </w:r>
      <w:r w:rsidRPr="006B2562">
        <w:rPr>
          <w:rFonts w:eastAsia="Calibri" w:cs="Times New Roman"/>
          <w:bCs/>
          <w:szCs w:val="30"/>
          <w:lang w:eastAsia="ru-RU"/>
        </w:rPr>
        <w:br/>
        <w:t>на оборудовании лестниц;</w:t>
      </w:r>
    </w:p>
    <w:p w:rsidR="004F41F1" w:rsidRPr="006B2562" w:rsidRDefault="004F41F1" w:rsidP="004F41F1">
      <w:pPr>
        <w:autoSpaceDE w:val="0"/>
        <w:autoSpaceDN w:val="0"/>
        <w:adjustRightInd w:val="0"/>
        <w:ind w:right="-2" w:firstLine="709"/>
        <w:jc w:val="both"/>
        <w:rPr>
          <w:rFonts w:eastAsia="Calibri" w:cs="Times New Roman"/>
          <w:bCs/>
          <w:szCs w:val="30"/>
          <w:lang w:eastAsia="ru-RU"/>
        </w:rPr>
      </w:pPr>
      <w:r w:rsidRPr="006B2562">
        <w:rPr>
          <w:rFonts w:eastAsia="Calibri" w:cs="Times New Roman"/>
          <w:bCs/>
          <w:szCs w:val="30"/>
          <w:lang w:eastAsia="ru-RU"/>
        </w:rPr>
        <w:t>отсутствие маркировки канатов, не являющихся сборочной единицей;</w:t>
      </w:r>
    </w:p>
    <w:p w:rsidR="004F41F1" w:rsidRPr="006B2562" w:rsidRDefault="004F41F1" w:rsidP="004F41F1">
      <w:pPr>
        <w:autoSpaceDE w:val="0"/>
        <w:autoSpaceDN w:val="0"/>
        <w:adjustRightInd w:val="0"/>
        <w:ind w:right="-2" w:firstLine="709"/>
        <w:jc w:val="both"/>
        <w:rPr>
          <w:rFonts w:eastAsia="Calibri" w:cs="Times New Roman"/>
          <w:bCs/>
          <w:szCs w:val="30"/>
          <w:lang w:eastAsia="ru-RU"/>
        </w:rPr>
      </w:pPr>
      <w:r w:rsidRPr="006B2562">
        <w:rPr>
          <w:rFonts w:eastAsia="Calibri" w:cs="Times New Roman"/>
          <w:bCs/>
          <w:szCs w:val="30"/>
          <w:lang w:eastAsia="ru-RU"/>
        </w:rPr>
        <w:t>отсутствие информационной таблички изготовителя с обязательной информацией, в том числе – сведений о дате последней ежегодной проверки; знака ЕАС на аттракционах и в эксплуатационных документах;</w:t>
      </w:r>
    </w:p>
    <w:p w:rsidR="00D40E05" w:rsidRPr="00870487" w:rsidRDefault="004F41F1" w:rsidP="00870487">
      <w:pPr>
        <w:autoSpaceDE w:val="0"/>
        <w:autoSpaceDN w:val="0"/>
        <w:adjustRightInd w:val="0"/>
        <w:ind w:right="-2" w:firstLine="709"/>
        <w:jc w:val="both"/>
        <w:rPr>
          <w:rFonts w:eastAsia="Calibri" w:cs="Times New Roman"/>
          <w:bCs/>
          <w:szCs w:val="30"/>
          <w:lang w:eastAsia="ru-RU"/>
        </w:rPr>
      </w:pPr>
      <w:r w:rsidRPr="006B2562">
        <w:rPr>
          <w:rFonts w:eastAsia="Calibri" w:cs="Times New Roman"/>
          <w:bCs/>
          <w:szCs w:val="30"/>
          <w:lang w:eastAsia="ru-RU"/>
        </w:rPr>
        <w:t>отсутствие в «Правилах поведения и техника безопасности» ограничений по возрасту, весу, росту пользователей.</w:t>
      </w:r>
    </w:p>
    <w:sectPr w:rsidR="00D40E05" w:rsidRPr="00870487" w:rsidSect="009F2ADE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655"/>
    <w:rsid w:val="00054E97"/>
    <w:rsid w:val="0015680F"/>
    <w:rsid w:val="002920FA"/>
    <w:rsid w:val="0031317A"/>
    <w:rsid w:val="00343647"/>
    <w:rsid w:val="004115E1"/>
    <w:rsid w:val="00477802"/>
    <w:rsid w:val="004F41F1"/>
    <w:rsid w:val="00667655"/>
    <w:rsid w:val="00677547"/>
    <w:rsid w:val="006B2562"/>
    <w:rsid w:val="006E4598"/>
    <w:rsid w:val="0077239A"/>
    <w:rsid w:val="00870487"/>
    <w:rsid w:val="008D2720"/>
    <w:rsid w:val="009367F0"/>
    <w:rsid w:val="009F2ADE"/>
    <w:rsid w:val="00AC62B9"/>
    <w:rsid w:val="00AF7FD3"/>
    <w:rsid w:val="00D40E05"/>
    <w:rsid w:val="00FE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igost</cp:lastModifiedBy>
  <cp:revision>2</cp:revision>
  <dcterms:created xsi:type="dcterms:W3CDTF">2024-08-08T10:59:00Z</dcterms:created>
  <dcterms:modified xsi:type="dcterms:W3CDTF">2024-08-08T10:59:00Z</dcterms:modified>
</cp:coreProperties>
</file>